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7B61C2D" w:rsidR="00E66558" w:rsidRDefault="27B34F6A">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2E93E54A">
        <w:t xml:space="preserve"> – </w:t>
      </w:r>
      <w:r w:rsidR="3AA0861F">
        <w:t xml:space="preserve">Bedford High School </w:t>
      </w:r>
    </w:p>
    <w:p w14:paraId="6E145DE3" w14:textId="30EA1351" w:rsidR="59801B34" w:rsidRDefault="59801B34" w:rsidP="59801B34"/>
    <w:p w14:paraId="51C905E1" w14:textId="4CB4BFC9" w:rsidR="3974F99D" w:rsidRDefault="3974F99D" w:rsidP="59801B34">
      <w:pPr>
        <w:spacing w:before="240"/>
        <w:rPr>
          <w:rFonts w:eastAsia="Arial" w:cs="Arial"/>
        </w:rPr>
      </w:pPr>
      <w:r w:rsidRPr="59801B34">
        <w:rPr>
          <w:rFonts w:eastAsia="Arial" w:cs="Arial"/>
        </w:rPr>
        <w:t>The Pupil Premium is additional funding which is allocated to schools based on the number of pupils who have been eligible for free school meals (FSM) at any point over the last six years (known as ‘Ever 6 FSM’). The Pupil Premium is aimed at addressing the current underlying inequalities which exist between children from disadvantaged backgrounds and their more affluent peers.</w:t>
      </w:r>
    </w:p>
    <w:p w14:paraId="2CFCB864" w14:textId="7B4A4AC2" w:rsidR="3974F99D" w:rsidRDefault="3974F99D" w:rsidP="59801B34">
      <w:pPr>
        <w:rPr>
          <w:rFonts w:eastAsia="Arial" w:cs="Arial"/>
          <w:b/>
          <w:bCs/>
          <w:color w:val="0B0C0C"/>
        </w:rPr>
      </w:pPr>
      <w:r w:rsidRPr="59801B34">
        <w:rPr>
          <w:rFonts w:eastAsia="Arial" w:cs="Arial"/>
        </w:rPr>
        <w:t>The Pupil Premium also provides funding for looked after children, adopted children and the children of service personnel.</w:t>
      </w:r>
    </w:p>
    <w:p w14:paraId="5771F23D" w14:textId="36B2EB6F" w:rsidR="3FCE207B" w:rsidRDefault="3FCE207B" w:rsidP="59801B34">
      <w:pPr>
        <w:rPr>
          <w:rFonts w:eastAsia="Arial" w:cs="Arial"/>
          <w:b/>
          <w:bCs/>
          <w:color w:val="0B0C0C"/>
        </w:rPr>
      </w:pPr>
      <w:r w:rsidRPr="59801B34">
        <w:rPr>
          <w:rFonts w:eastAsia="Arial" w:cs="Arial"/>
          <w:b/>
          <w:bCs/>
          <w:color w:val="0B0C0C"/>
        </w:rPr>
        <w:t>Funding rates for the 2024 to 2025 financial year</w:t>
      </w:r>
    </w:p>
    <w:p w14:paraId="456601F1" w14:textId="62341296" w:rsidR="3FCE207B" w:rsidRDefault="3FCE207B" w:rsidP="59801B34">
      <w:pPr>
        <w:shd w:val="clear" w:color="auto" w:fill="FFFFFF" w:themeFill="background1"/>
        <w:spacing w:before="300" w:after="300"/>
      </w:pPr>
      <w:r w:rsidRPr="59801B34">
        <w:rPr>
          <w:rFonts w:eastAsia="Arial" w:cs="Arial"/>
          <w:color w:val="0B0C0C"/>
        </w:rPr>
        <w:t>This table shows how the pupil premium grant is allocated to schools and local authorities in the 2024 to 2025 financial year, based on per pupil rates.</w:t>
      </w:r>
    </w:p>
    <w:tbl>
      <w:tblPr>
        <w:tblW w:w="0" w:type="auto"/>
        <w:tblLayout w:type="fixed"/>
        <w:tblLook w:val="06A0" w:firstRow="1" w:lastRow="0" w:firstColumn="1" w:lastColumn="0" w:noHBand="1" w:noVBand="1"/>
      </w:tblPr>
      <w:tblGrid>
        <w:gridCol w:w="3078"/>
        <w:gridCol w:w="2350"/>
        <w:gridCol w:w="2719"/>
        <w:gridCol w:w="1348"/>
      </w:tblGrid>
      <w:tr w:rsidR="59801B34" w14:paraId="5DC72E0A" w14:textId="77777777" w:rsidTr="59801B34">
        <w:trPr>
          <w:trHeight w:val="300"/>
        </w:trPr>
        <w:tc>
          <w:tcPr>
            <w:tcW w:w="3078" w:type="dxa"/>
            <w:tcBorders>
              <w:bottom w:val="single" w:sz="6" w:space="0" w:color="B1B4B6"/>
            </w:tcBorders>
            <w:shd w:val="clear" w:color="auto" w:fill="FFFFFF" w:themeFill="background1"/>
            <w:tcMar>
              <w:top w:w="150" w:type="dxa"/>
              <w:bottom w:w="150" w:type="dxa"/>
              <w:right w:w="300" w:type="dxa"/>
            </w:tcMar>
          </w:tcPr>
          <w:p w14:paraId="0074F4F8" w14:textId="20F0F388" w:rsidR="59801B34" w:rsidRDefault="59801B34" w:rsidP="59801B34">
            <w:pPr>
              <w:spacing w:after="0"/>
            </w:pPr>
            <w:r w:rsidRPr="59801B34">
              <w:rPr>
                <w:rFonts w:eastAsia="Arial" w:cs="Arial"/>
                <w:b/>
                <w:bCs/>
                <w:color w:val="0B0C0C"/>
              </w:rPr>
              <w:t>Funding criteria</w:t>
            </w:r>
          </w:p>
        </w:tc>
        <w:tc>
          <w:tcPr>
            <w:tcW w:w="2350" w:type="dxa"/>
            <w:tcBorders>
              <w:bottom w:val="single" w:sz="6" w:space="0" w:color="B1B4B6"/>
            </w:tcBorders>
            <w:shd w:val="clear" w:color="auto" w:fill="FFFFFF" w:themeFill="background1"/>
            <w:tcMar>
              <w:top w:w="150" w:type="dxa"/>
              <w:bottom w:w="150" w:type="dxa"/>
              <w:right w:w="300" w:type="dxa"/>
            </w:tcMar>
          </w:tcPr>
          <w:p w14:paraId="3AD5A220" w14:textId="7D5BA532" w:rsidR="59801B34" w:rsidRDefault="59801B34" w:rsidP="59801B34">
            <w:pPr>
              <w:spacing w:after="0"/>
            </w:pPr>
            <w:r w:rsidRPr="59801B34">
              <w:rPr>
                <w:rFonts w:eastAsia="Arial" w:cs="Arial"/>
                <w:b/>
                <w:bCs/>
                <w:color w:val="0B0C0C"/>
              </w:rPr>
              <w:t>Amount of funding for each primary-aged pupil per year</w:t>
            </w:r>
          </w:p>
        </w:tc>
        <w:tc>
          <w:tcPr>
            <w:tcW w:w="2719" w:type="dxa"/>
            <w:tcBorders>
              <w:bottom w:val="single" w:sz="6" w:space="0" w:color="B1B4B6"/>
            </w:tcBorders>
            <w:shd w:val="clear" w:color="auto" w:fill="FFFFFF" w:themeFill="background1"/>
            <w:tcMar>
              <w:top w:w="150" w:type="dxa"/>
              <w:bottom w:w="150" w:type="dxa"/>
              <w:right w:w="300" w:type="dxa"/>
            </w:tcMar>
          </w:tcPr>
          <w:p w14:paraId="7BEF3EB7" w14:textId="4176C3D5" w:rsidR="59801B34" w:rsidRDefault="59801B34" w:rsidP="59801B34">
            <w:pPr>
              <w:spacing w:after="0"/>
            </w:pPr>
            <w:r w:rsidRPr="59801B34">
              <w:rPr>
                <w:rFonts w:eastAsia="Arial" w:cs="Arial"/>
                <w:b/>
                <w:bCs/>
                <w:color w:val="0B0C0C"/>
              </w:rPr>
              <w:t>Amount of funding for each secondary-aged pupil per year</w:t>
            </w:r>
          </w:p>
        </w:tc>
        <w:tc>
          <w:tcPr>
            <w:tcW w:w="1348" w:type="dxa"/>
            <w:tcBorders>
              <w:bottom w:val="single" w:sz="6" w:space="0" w:color="B1B4B6"/>
            </w:tcBorders>
            <w:shd w:val="clear" w:color="auto" w:fill="FFFFFF" w:themeFill="background1"/>
            <w:tcMar>
              <w:top w:w="150" w:type="dxa"/>
              <w:bottom w:w="150" w:type="dxa"/>
            </w:tcMar>
          </w:tcPr>
          <w:p w14:paraId="0FC6AF79" w14:textId="5F1FFD02" w:rsidR="59801B34" w:rsidRDefault="59801B34" w:rsidP="59801B34">
            <w:pPr>
              <w:spacing w:after="0"/>
            </w:pPr>
            <w:r w:rsidRPr="59801B34">
              <w:rPr>
                <w:rFonts w:eastAsia="Arial" w:cs="Arial"/>
                <w:b/>
                <w:bCs/>
                <w:color w:val="0B0C0C"/>
              </w:rPr>
              <w:t>Funding is paid to</w:t>
            </w:r>
          </w:p>
        </w:tc>
      </w:tr>
      <w:tr w:rsidR="59801B34" w14:paraId="3A85DD0B" w14:textId="77777777" w:rsidTr="59801B34">
        <w:trPr>
          <w:trHeight w:val="300"/>
        </w:trPr>
        <w:tc>
          <w:tcPr>
            <w:tcW w:w="3078" w:type="dxa"/>
            <w:tcBorders>
              <w:bottom w:val="single" w:sz="6" w:space="0" w:color="B1B4B6"/>
            </w:tcBorders>
            <w:shd w:val="clear" w:color="auto" w:fill="FFFFFF" w:themeFill="background1"/>
            <w:tcMar>
              <w:top w:w="150" w:type="dxa"/>
              <w:bottom w:w="150" w:type="dxa"/>
              <w:right w:w="300" w:type="dxa"/>
            </w:tcMar>
          </w:tcPr>
          <w:p w14:paraId="745D7F0B" w14:textId="0DC7BB8B" w:rsidR="59801B34" w:rsidRDefault="59801B34" w:rsidP="59801B34">
            <w:pPr>
              <w:spacing w:after="0"/>
            </w:pPr>
            <w:r w:rsidRPr="59801B34">
              <w:rPr>
                <w:rFonts w:eastAsia="Arial" w:cs="Arial"/>
                <w:color w:val="0B0C0C"/>
              </w:rPr>
              <w:t>Pupils who are eligible for free school meals, or have been eligible in the past 6 years</w:t>
            </w:r>
          </w:p>
        </w:tc>
        <w:tc>
          <w:tcPr>
            <w:tcW w:w="2350" w:type="dxa"/>
            <w:tcBorders>
              <w:bottom w:val="single" w:sz="6" w:space="0" w:color="B1B4B6"/>
            </w:tcBorders>
            <w:shd w:val="clear" w:color="auto" w:fill="FFFFFF" w:themeFill="background1"/>
            <w:tcMar>
              <w:top w:w="150" w:type="dxa"/>
              <w:bottom w:w="150" w:type="dxa"/>
              <w:right w:w="300" w:type="dxa"/>
            </w:tcMar>
          </w:tcPr>
          <w:p w14:paraId="3E716129" w14:textId="74162EB8" w:rsidR="59801B34" w:rsidRDefault="59801B34" w:rsidP="59801B34">
            <w:pPr>
              <w:spacing w:after="0"/>
            </w:pPr>
            <w:r w:rsidRPr="59801B34">
              <w:rPr>
                <w:rFonts w:eastAsia="Arial" w:cs="Arial"/>
                <w:color w:val="0B0C0C"/>
              </w:rPr>
              <w:t>£ 1,480</w:t>
            </w:r>
          </w:p>
        </w:tc>
        <w:tc>
          <w:tcPr>
            <w:tcW w:w="2719" w:type="dxa"/>
            <w:tcBorders>
              <w:bottom w:val="single" w:sz="6" w:space="0" w:color="B1B4B6"/>
            </w:tcBorders>
            <w:shd w:val="clear" w:color="auto" w:fill="FFFFFF" w:themeFill="background1"/>
            <w:tcMar>
              <w:top w:w="150" w:type="dxa"/>
              <w:bottom w:w="150" w:type="dxa"/>
              <w:right w:w="300" w:type="dxa"/>
            </w:tcMar>
          </w:tcPr>
          <w:p w14:paraId="2E437C9F" w14:textId="358A3AC3" w:rsidR="59801B34" w:rsidRDefault="59801B34" w:rsidP="59801B34">
            <w:pPr>
              <w:spacing w:after="0"/>
            </w:pPr>
            <w:r w:rsidRPr="59801B34">
              <w:rPr>
                <w:rFonts w:eastAsia="Arial" w:cs="Arial"/>
                <w:color w:val="0B0C0C"/>
              </w:rPr>
              <w:t>£ 1,050</w:t>
            </w:r>
          </w:p>
        </w:tc>
        <w:tc>
          <w:tcPr>
            <w:tcW w:w="1348" w:type="dxa"/>
            <w:tcBorders>
              <w:bottom w:val="single" w:sz="6" w:space="0" w:color="B1B4B6"/>
            </w:tcBorders>
            <w:shd w:val="clear" w:color="auto" w:fill="FFFFFF" w:themeFill="background1"/>
            <w:tcMar>
              <w:top w:w="150" w:type="dxa"/>
              <w:bottom w:w="150" w:type="dxa"/>
            </w:tcMar>
          </w:tcPr>
          <w:p w14:paraId="29D92A4B" w14:textId="60B4D4C2" w:rsidR="59801B34" w:rsidRDefault="59801B34" w:rsidP="59801B34">
            <w:pPr>
              <w:spacing w:after="0"/>
            </w:pPr>
            <w:r w:rsidRPr="59801B34">
              <w:rPr>
                <w:rFonts w:eastAsia="Arial" w:cs="Arial"/>
                <w:color w:val="0B0C0C"/>
              </w:rPr>
              <w:t>School</w:t>
            </w:r>
          </w:p>
        </w:tc>
      </w:tr>
      <w:tr w:rsidR="59801B34" w14:paraId="2784B082" w14:textId="77777777" w:rsidTr="59801B34">
        <w:trPr>
          <w:trHeight w:val="300"/>
        </w:trPr>
        <w:tc>
          <w:tcPr>
            <w:tcW w:w="3078" w:type="dxa"/>
            <w:tcBorders>
              <w:bottom w:val="single" w:sz="6" w:space="0" w:color="B1B4B6"/>
            </w:tcBorders>
            <w:shd w:val="clear" w:color="auto" w:fill="FFFFFF" w:themeFill="background1"/>
            <w:tcMar>
              <w:top w:w="150" w:type="dxa"/>
              <w:bottom w:w="150" w:type="dxa"/>
              <w:right w:w="300" w:type="dxa"/>
            </w:tcMar>
          </w:tcPr>
          <w:p w14:paraId="3D4FB892" w14:textId="12FA01D0" w:rsidR="59801B34" w:rsidRDefault="59801B34" w:rsidP="59801B34">
            <w:pPr>
              <w:spacing w:after="0"/>
            </w:pPr>
            <w:r w:rsidRPr="59801B34">
              <w:rPr>
                <w:rFonts w:eastAsia="Arial" w:cs="Arial"/>
                <w:color w:val="0B0C0C"/>
              </w:rPr>
              <w:t>Pupils previously looked after by a local authority or other state care</w:t>
            </w:r>
          </w:p>
        </w:tc>
        <w:tc>
          <w:tcPr>
            <w:tcW w:w="2350" w:type="dxa"/>
            <w:tcBorders>
              <w:bottom w:val="single" w:sz="6" w:space="0" w:color="B1B4B6"/>
            </w:tcBorders>
            <w:shd w:val="clear" w:color="auto" w:fill="FFFFFF" w:themeFill="background1"/>
            <w:tcMar>
              <w:top w:w="150" w:type="dxa"/>
              <w:bottom w:w="150" w:type="dxa"/>
              <w:right w:w="300" w:type="dxa"/>
            </w:tcMar>
          </w:tcPr>
          <w:p w14:paraId="1096883A" w14:textId="051D8775" w:rsidR="59801B34" w:rsidRDefault="59801B34" w:rsidP="59801B34">
            <w:pPr>
              <w:spacing w:after="0"/>
            </w:pPr>
            <w:r w:rsidRPr="59801B34">
              <w:rPr>
                <w:rFonts w:eastAsia="Arial" w:cs="Arial"/>
                <w:color w:val="0B0C0C"/>
              </w:rPr>
              <w:t>£ 2,570</w:t>
            </w:r>
          </w:p>
        </w:tc>
        <w:tc>
          <w:tcPr>
            <w:tcW w:w="2719" w:type="dxa"/>
            <w:tcBorders>
              <w:bottom w:val="single" w:sz="6" w:space="0" w:color="B1B4B6"/>
            </w:tcBorders>
            <w:shd w:val="clear" w:color="auto" w:fill="FFFFFF" w:themeFill="background1"/>
            <w:tcMar>
              <w:top w:w="150" w:type="dxa"/>
              <w:bottom w:w="150" w:type="dxa"/>
              <w:right w:w="300" w:type="dxa"/>
            </w:tcMar>
          </w:tcPr>
          <w:p w14:paraId="3E8AEB36" w14:textId="41BA87D5" w:rsidR="59801B34" w:rsidRDefault="59801B34" w:rsidP="59801B34">
            <w:pPr>
              <w:spacing w:after="0"/>
            </w:pPr>
            <w:r w:rsidRPr="59801B34">
              <w:rPr>
                <w:rFonts w:eastAsia="Arial" w:cs="Arial"/>
                <w:color w:val="0B0C0C"/>
              </w:rPr>
              <w:t>£ 2,570</w:t>
            </w:r>
          </w:p>
        </w:tc>
        <w:tc>
          <w:tcPr>
            <w:tcW w:w="1348" w:type="dxa"/>
            <w:tcBorders>
              <w:bottom w:val="single" w:sz="6" w:space="0" w:color="B1B4B6"/>
            </w:tcBorders>
            <w:shd w:val="clear" w:color="auto" w:fill="FFFFFF" w:themeFill="background1"/>
            <w:tcMar>
              <w:top w:w="150" w:type="dxa"/>
              <w:bottom w:w="150" w:type="dxa"/>
            </w:tcMar>
          </w:tcPr>
          <w:p w14:paraId="487F401A" w14:textId="3B078E1E" w:rsidR="59801B34" w:rsidRDefault="59801B34" w:rsidP="59801B34">
            <w:pPr>
              <w:spacing w:after="0"/>
            </w:pPr>
            <w:r w:rsidRPr="59801B34">
              <w:rPr>
                <w:rFonts w:eastAsia="Arial" w:cs="Arial"/>
                <w:color w:val="0B0C0C"/>
              </w:rPr>
              <w:t>School</w:t>
            </w:r>
          </w:p>
        </w:tc>
      </w:tr>
      <w:tr w:rsidR="59801B34" w14:paraId="79303BC8" w14:textId="77777777" w:rsidTr="59801B34">
        <w:trPr>
          <w:trHeight w:val="300"/>
        </w:trPr>
        <w:tc>
          <w:tcPr>
            <w:tcW w:w="3078" w:type="dxa"/>
            <w:tcBorders>
              <w:bottom w:val="single" w:sz="6" w:space="0" w:color="B1B4B6"/>
            </w:tcBorders>
            <w:shd w:val="clear" w:color="auto" w:fill="FFFFFF" w:themeFill="background1"/>
            <w:tcMar>
              <w:top w:w="150" w:type="dxa"/>
              <w:bottom w:w="150" w:type="dxa"/>
              <w:right w:w="300" w:type="dxa"/>
            </w:tcMar>
          </w:tcPr>
          <w:p w14:paraId="3022A2AC" w14:textId="6D461A9F" w:rsidR="59801B34" w:rsidRDefault="59801B34" w:rsidP="59801B34">
            <w:pPr>
              <w:spacing w:after="0"/>
            </w:pPr>
            <w:r w:rsidRPr="59801B34">
              <w:rPr>
                <w:rFonts w:eastAsia="Arial" w:cs="Arial"/>
                <w:color w:val="0B0C0C"/>
              </w:rPr>
              <w:t>Children who are looked after by the local authority</w:t>
            </w:r>
          </w:p>
        </w:tc>
        <w:tc>
          <w:tcPr>
            <w:tcW w:w="2350" w:type="dxa"/>
            <w:tcBorders>
              <w:bottom w:val="single" w:sz="6" w:space="0" w:color="B1B4B6"/>
            </w:tcBorders>
            <w:shd w:val="clear" w:color="auto" w:fill="FFFFFF" w:themeFill="background1"/>
            <w:tcMar>
              <w:top w:w="150" w:type="dxa"/>
              <w:bottom w:w="150" w:type="dxa"/>
              <w:right w:w="300" w:type="dxa"/>
            </w:tcMar>
          </w:tcPr>
          <w:p w14:paraId="3DF735CA" w14:textId="569049B0" w:rsidR="59801B34" w:rsidRDefault="59801B34" w:rsidP="59801B34">
            <w:pPr>
              <w:spacing w:after="0"/>
            </w:pPr>
            <w:r w:rsidRPr="59801B34">
              <w:rPr>
                <w:rFonts w:eastAsia="Arial" w:cs="Arial"/>
                <w:color w:val="0B0C0C"/>
              </w:rPr>
              <w:t>£ 2,570</w:t>
            </w:r>
          </w:p>
        </w:tc>
        <w:tc>
          <w:tcPr>
            <w:tcW w:w="2719" w:type="dxa"/>
            <w:tcBorders>
              <w:bottom w:val="single" w:sz="6" w:space="0" w:color="B1B4B6"/>
            </w:tcBorders>
            <w:shd w:val="clear" w:color="auto" w:fill="FFFFFF" w:themeFill="background1"/>
            <w:tcMar>
              <w:top w:w="150" w:type="dxa"/>
              <w:bottom w:w="150" w:type="dxa"/>
              <w:right w:w="300" w:type="dxa"/>
            </w:tcMar>
          </w:tcPr>
          <w:p w14:paraId="18025BDA" w14:textId="40ED250C" w:rsidR="59801B34" w:rsidRDefault="59801B34" w:rsidP="59801B34">
            <w:pPr>
              <w:spacing w:after="0"/>
            </w:pPr>
            <w:r w:rsidRPr="59801B34">
              <w:rPr>
                <w:rFonts w:eastAsia="Arial" w:cs="Arial"/>
                <w:color w:val="0B0C0C"/>
              </w:rPr>
              <w:t>£ 2,570</w:t>
            </w:r>
          </w:p>
        </w:tc>
        <w:tc>
          <w:tcPr>
            <w:tcW w:w="1348" w:type="dxa"/>
            <w:tcBorders>
              <w:bottom w:val="single" w:sz="6" w:space="0" w:color="B1B4B6"/>
            </w:tcBorders>
            <w:shd w:val="clear" w:color="auto" w:fill="FFFFFF" w:themeFill="background1"/>
            <w:tcMar>
              <w:top w:w="150" w:type="dxa"/>
              <w:bottom w:w="150" w:type="dxa"/>
            </w:tcMar>
          </w:tcPr>
          <w:p w14:paraId="0F221B67" w14:textId="357400CA" w:rsidR="59801B34" w:rsidRDefault="59801B34" w:rsidP="59801B34">
            <w:pPr>
              <w:spacing w:after="0"/>
            </w:pPr>
            <w:r w:rsidRPr="59801B34">
              <w:rPr>
                <w:rFonts w:eastAsia="Arial" w:cs="Arial"/>
                <w:color w:val="0B0C0C"/>
              </w:rPr>
              <w:t>Local</w:t>
            </w:r>
          </w:p>
        </w:tc>
      </w:tr>
    </w:tbl>
    <w:p w14:paraId="53CD02BB" w14:textId="588D65AA" w:rsidR="59801B34" w:rsidRDefault="59801B34" w:rsidP="59801B34">
      <w:pPr>
        <w:rPr>
          <w:rFonts w:eastAsia="Arial" w:cs="Arial"/>
        </w:rPr>
      </w:pP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lastRenderedPageBreak/>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69A7FA" w:rsidR="002940F3" w:rsidRDefault="543B4078" w:rsidP="00C31636">
            <w:pPr>
              <w:pStyle w:val="TableRow"/>
              <w:ind w:left="0" w:right="0"/>
            </w:pPr>
            <w:r>
              <w:t>1112</w:t>
            </w:r>
          </w:p>
        </w:tc>
      </w:tr>
      <w:tr w:rsidR="002940F3" w14:paraId="2A7D54BD"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591C8B3" w:rsidR="002940F3" w:rsidRDefault="7A57B620" w:rsidP="00C31636">
            <w:pPr>
              <w:pStyle w:val="TableRow"/>
              <w:ind w:left="0" w:right="0"/>
            </w:pPr>
            <w:r>
              <w:t>36.51%</w:t>
            </w:r>
          </w:p>
        </w:tc>
      </w:tr>
      <w:tr w:rsidR="002940F3" w14:paraId="2A7D54C0"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D1CEEAB" w:rsidR="002940F3" w:rsidRDefault="00566C9F" w:rsidP="00C31636">
            <w:pPr>
              <w:pStyle w:val="TableRow"/>
              <w:ind w:left="0" w:right="0"/>
            </w:pPr>
            <w:r>
              <w:t>November 2024-November 2027</w:t>
            </w:r>
          </w:p>
        </w:tc>
      </w:tr>
      <w:tr w:rsidR="002940F3" w14:paraId="2A7D54C3"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D79F4B2" w:rsidR="002940F3" w:rsidRDefault="00637EC3" w:rsidP="00C31636">
            <w:pPr>
              <w:pStyle w:val="TableRow"/>
              <w:ind w:left="0" w:right="0"/>
            </w:pPr>
            <w:r>
              <w:t>November 2024</w:t>
            </w:r>
          </w:p>
        </w:tc>
      </w:tr>
      <w:tr w:rsidR="002940F3" w14:paraId="2A7D54C6"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4776E4D" w:rsidR="002940F3" w:rsidRDefault="00566C9F" w:rsidP="00C31636">
            <w:pPr>
              <w:pStyle w:val="TableRow"/>
              <w:ind w:left="0" w:right="0"/>
            </w:pPr>
            <w:r>
              <w:t>November 2025</w:t>
            </w:r>
          </w:p>
        </w:tc>
      </w:tr>
      <w:tr w:rsidR="002940F3" w14:paraId="2A7D54C9"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683DFAB" w:rsidR="002940F3" w:rsidRDefault="00637EC3" w:rsidP="00C31636">
            <w:pPr>
              <w:pStyle w:val="TableRow"/>
              <w:ind w:left="0" w:right="0"/>
            </w:pPr>
            <w:r>
              <w:t xml:space="preserve">Mr P McCaffery </w:t>
            </w:r>
          </w:p>
        </w:tc>
      </w:tr>
      <w:tr w:rsidR="002940F3" w14:paraId="2A7D54CC"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8DA58E8" w:rsidR="002940F3" w:rsidRDefault="00637EC3" w:rsidP="00C31636">
            <w:pPr>
              <w:pStyle w:val="TableRow"/>
              <w:ind w:left="0" w:right="0"/>
            </w:pPr>
            <w:r>
              <w:t xml:space="preserve">G Calwell </w:t>
            </w:r>
          </w:p>
        </w:tc>
      </w:tr>
      <w:tr w:rsidR="002940F3" w14:paraId="2A7D54CF" w14:textId="77777777" w:rsidTr="59801B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8DA4165" w:rsidR="002940F3" w:rsidRDefault="00637EC3" w:rsidP="00C31636">
            <w:pPr>
              <w:pStyle w:val="TableRow"/>
              <w:ind w:left="0" w:right="0"/>
            </w:pPr>
            <w:r>
              <w:t xml:space="preserve">Lynn Hayes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59801B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59801B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F42A82C" w:rsidR="00E66558" w:rsidRDefault="27B34F6A" w:rsidP="00C31636">
            <w:pPr>
              <w:pStyle w:val="TableRow"/>
              <w:ind w:left="0" w:right="0"/>
            </w:pPr>
            <w:r>
              <w:t>£</w:t>
            </w:r>
            <w:r w:rsidR="45F2A985">
              <w:t xml:space="preserve"> 391 350</w:t>
            </w:r>
          </w:p>
        </w:tc>
      </w:tr>
      <w:tr w:rsidR="00E66558" w14:paraId="2A7D54DF" w14:textId="77777777" w:rsidTr="59801B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CCB55F2" w:rsidR="00E66558" w:rsidRDefault="27B34F6A" w:rsidP="00C31636">
            <w:pPr>
              <w:pStyle w:val="TableRow"/>
              <w:ind w:left="0" w:right="0"/>
            </w:pPr>
            <w:r>
              <w:t>£</w:t>
            </w:r>
            <w:r w:rsidR="3F944886">
              <w:t>0</w:t>
            </w:r>
          </w:p>
        </w:tc>
      </w:tr>
      <w:tr w:rsidR="00E66558" w14:paraId="2A7D54E3" w14:textId="77777777" w:rsidTr="59801B3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7777777" w:rsidR="00E66558" w:rsidRDefault="009D71E8" w:rsidP="00C31636">
            <w:pPr>
              <w:pStyle w:val="TableRow"/>
              <w:ind w:left="0" w:right="0"/>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9801B3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04FA0" w14:textId="2FFC0872" w:rsidR="009C0596" w:rsidRPr="00EA097A" w:rsidRDefault="49B477BE" w:rsidP="009C0596">
            <w:pPr>
              <w:spacing w:before="120"/>
              <w:rPr>
                <w:rFonts w:cs="Arial"/>
                <w:color w:val="auto"/>
                <w:lang w:val="en-US"/>
              </w:rPr>
            </w:pPr>
            <w:r w:rsidRPr="59801B34">
              <w:rPr>
                <w:rFonts w:cs="Arial"/>
                <w:color w:val="auto"/>
              </w:rPr>
              <w:t xml:space="preserve">Our intention is that all </w:t>
            </w:r>
            <w:r w:rsidR="20B3A86B" w:rsidRPr="59801B34">
              <w:rPr>
                <w:rFonts w:cs="Arial"/>
                <w:color w:val="auto"/>
              </w:rPr>
              <w:t>students</w:t>
            </w:r>
            <w:r w:rsidRPr="59801B34">
              <w:rPr>
                <w:rFonts w:cs="Arial"/>
                <w:color w:val="auto"/>
              </w:rPr>
              <w:t xml:space="preserve">, irrespective of their background or the </w:t>
            </w:r>
            <w:r w:rsidR="20B3A86B" w:rsidRPr="59801B34">
              <w:rPr>
                <w:rFonts w:cs="Arial"/>
                <w:color w:val="auto"/>
              </w:rPr>
              <w:t>barriers</w:t>
            </w:r>
            <w:r w:rsidRPr="59801B34">
              <w:rPr>
                <w:rFonts w:cs="Arial"/>
                <w:color w:val="auto"/>
              </w:rPr>
              <w:t xml:space="preserve"> they face, make good progress and </w:t>
            </w:r>
            <w:r w:rsidR="20B3A86B" w:rsidRPr="59801B34">
              <w:rPr>
                <w:rFonts w:cs="Arial"/>
                <w:color w:val="auto"/>
              </w:rPr>
              <w:t>flourish so that they become effective citizens who are ambitious</w:t>
            </w:r>
            <w:r w:rsidR="29CE4D48" w:rsidRPr="59801B34">
              <w:rPr>
                <w:rFonts w:cs="Arial"/>
                <w:color w:val="auto"/>
              </w:rPr>
              <w:t xml:space="preserve"> and employable.</w:t>
            </w:r>
            <w:r w:rsidR="20B3A86B" w:rsidRPr="59801B34">
              <w:rPr>
                <w:rFonts w:cs="Arial"/>
                <w:color w:val="auto"/>
                <w:lang w:val="en-US"/>
              </w:rPr>
              <w:t xml:space="preserve"> The</w:t>
            </w:r>
            <w:r w:rsidRPr="59801B34">
              <w:rPr>
                <w:rFonts w:cs="Arial"/>
                <w:color w:val="auto"/>
                <w:lang w:val="en-US"/>
              </w:rPr>
              <w:t xml:space="preserve"> focus of our pupil premium strategy is to </w:t>
            </w:r>
            <w:r w:rsidR="20B3A86B" w:rsidRPr="59801B34">
              <w:rPr>
                <w:rFonts w:cs="Arial"/>
                <w:color w:val="auto"/>
                <w:lang w:val="en-US"/>
              </w:rPr>
              <w:t>ensure that we</w:t>
            </w:r>
            <w:r w:rsidR="1BC01AB5" w:rsidRPr="59801B34">
              <w:rPr>
                <w:rFonts w:cs="Arial"/>
                <w:color w:val="auto"/>
                <w:lang w:val="en-US"/>
              </w:rPr>
              <w:t xml:space="preserve"> offer high quality </w:t>
            </w:r>
            <w:r w:rsidR="1331AE7A" w:rsidRPr="59801B34">
              <w:rPr>
                <w:rFonts w:cs="Arial"/>
                <w:color w:val="auto"/>
                <w:lang w:val="en-US"/>
              </w:rPr>
              <w:t>provision</w:t>
            </w:r>
            <w:r w:rsidR="1BC01AB5" w:rsidRPr="59801B34">
              <w:rPr>
                <w:rFonts w:cs="Arial"/>
                <w:color w:val="auto"/>
                <w:lang w:val="en-US"/>
              </w:rPr>
              <w:t xml:space="preserve"> for our pupil premium </w:t>
            </w:r>
            <w:r w:rsidR="02132902" w:rsidRPr="59801B34">
              <w:rPr>
                <w:rFonts w:cs="Arial"/>
                <w:color w:val="auto"/>
                <w:lang w:val="en-US"/>
              </w:rPr>
              <w:t xml:space="preserve">students </w:t>
            </w:r>
            <w:r w:rsidR="1BC01AB5" w:rsidRPr="59801B34">
              <w:rPr>
                <w:rFonts w:cs="Arial"/>
                <w:color w:val="auto"/>
                <w:lang w:val="en-US"/>
              </w:rPr>
              <w:t xml:space="preserve">so that they have an equitable education. </w:t>
            </w:r>
          </w:p>
          <w:p w14:paraId="52FB75CE" w14:textId="5ABE2C23" w:rsidR="009C0596" w:rsidRPr="00EA097A" w:rsidRDefault="009C0596" w:rsidP="009C0596">
            <w:pPr>
              <w:spacing w:before="120"/>
              <w:rPr>
                <w:rFonts w:cs="Arial"/>
                <w:iCs/>
                <w:color w:val="auto"/>
              </w:rPr>
            </w:pPr>
            <w:r w:rsidRPr="00EA097A">
              <w:rPr>
                <w:rFonts w:cs="Arial"/>
                <w:iCs/>
                <w:color w:val="auto"/>
                <w:lang w:val="en-US"/>
              </w:rPr>
              <w:t xml:space="preserve">We </w:t>
            </w:r>
            <w:proofErr w:type="spellStart"/>
            <w:r w:rsidR="00E50B24">
              <w:rPr>
                <w:rFonts w:cs="Arial"/>
                <w:iCs/>
                <w:color w:val="auto"/>
                <w:lang w:val="en-US"/>
              </w:rPr>
              <w:t>recognise</w:t>
            </w:r>
            <w:proofErr w:type="spellEnd"/>
            <w:r w:rsidRPr="00EA097A">
              <w:rPr>
                <w:rFonts w:cs="Arial"/>
                <w:iCs/>
                <w:color w:val="auto"/>
                <w:lang w:val="en-US"/>
              </w:rPr>
              <w:t xml:space="preserve"> the </w:t>
            </w:r>
            <w:r w:rsidR="00E50B24">
              <w:rPr>
                <w:rFonts w:cs="Arial"/>
                <w:iCs/>
                <w:color w:val="auto"/>
                <w:lang w:val="en-US"/>
              </w:rPr>
              <w:t xml:space="preserve">potential and varied </w:t>
            </w:r>
            <w:r w:rsidRPr="00EA097A">
              <w:rPr>
                <w:rFonts w:cs="Arial"/>
                <w:iCs/>
                <w:color w:val="auto"/>
                <w:lang w:val="en-US"/>
              </w:rPr>
              <w:t xml:space="preserve">challenges </w:t>
            </w:r>
            <w:r w:rsidR="00E50B24">
              <w:rPr>
                <w:rFonts w:cs="Arial"/>
                <w:iCs/>
                <w:color w:val="auto"/>
                <w:lang w:val="en-US"/>
              </w:rPr>
              <w:t xml:space="preserve">that Pupil premium students can face. We </w:t>
            </w:r>
            <w:proofErr w:type="spellStart"/>
            <w:r w:rsidR="00E50B24">
              <w:rPr>
                <w:rFonts w:cs="Arial"/>
                <w:iCs/>
                <w:color w:val="auto"/>
                <w:lang w:val="en-US"/>
              </w:rPr>
              <w:t>recognise</w:t>
            </w:r>
            <w:proofErr w:type="spellEnd"/>
            <w:r w:rsidR="00E50B24">
              <w:rPr>
                <w:rFonts w:cs="Arial"/>
                <w:iCs/>
                <w:color w:val="auto"/>
                <w:lang w:val="en-US"/>
              </w:rPr>
              <w:t xml:space="preserve"> that their barriers are not just economic but can also be cultural</w:t>
            </w:r>
            <w:r w:rsidR="00710843">
              <w:rPr>
                <w:rFonts w:cs="Arial"/>
                <w:iCs/>
                <w:color w:val="auto"/>
                <w:lang w:val="en-US"/>
              </w:rPr>
              <w:t xml:space="preserve">, social and health related. </w:t>
            </w:r>
            <w:r w:rsidRPr="00EA097A">
              <w:rPr>
                <w:rFonts w:cs="Arial"/>
                <w:iCs/>
                <w:color w:val="auto"/>
                <w:lang w:val="en-US"/>
              </w:rPr>
              <w:t>The activity we have outlined in this statement is</w:t>
            </w:r>
            <w:r w:rsidR="00710843">
              <w:rPr>
                <w:rFonts w:cs="Arial"/>
                <w:iCs/>
                <w:color w:val="auto"/>
                <w:lang w:val="en-US"/>
              </w:rPr>
              <w:t xml:space="preserve"> designed</w:t>
            </w:r>
            <w:r w:rsidRPr="00EA097A">
              <w:rPr>
                <w:rFonts w:cs="Arial"/>
                <w:iCs/>
                <w:color w:val="auto"/>
                <w:lang w:val="en-US"/>
              </w:rPr>
              <w:t xml:space="preserve"> to support their needs, regardless of whether they are disadvantaged</w:t>
            </w:r>
            <w:r w:rsidRPr="00EA097A">
              <w:rPr>
                <w:rStyle w:val="CommentReference"/>
                <w:sz w:val="20"/>
                <w:szCs w:val="20"/>
              </w:rPr>
              <w:t xml:space="preserve"> </w:t>
            </w:r>
            <w:r w:rsidRPr="00EA097A">
              <w:rPr>
                <w:rFonts w:cs="Arial"/>
                <w:iCs/>
                <w:color w:val="auto"/>
                <w:lang w:val="en-US"/>
              </w:rPr>
              <w:t>or not.</w:t>
            </w:r>
          </w:p>
          <w:p w14:paraId="13E34105" w14:textId="77777777" w:rsidR="009C0596" w:rsidRPr="00EA097A" w:rsidRDefault="009C0596" w:rsidP="009C0596">
            <w:pPr>
              <w:rPr>
                <w:iCs/>
                <w:color w:val="auto"/>
                <w:lang w:val="en-US"/>
              </w:rPr>
            </w:pPr>
            <w:r w:rsidRPr="00EA097A">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A097A">
              <w:rPr>
                <w:iCs/>
                <w:color w:val="auto"/>
                <w:lang w:val="en-US"/>
              </w:rPr>
              <w:t>Implicit in the intended outcomes detailed below, is the intention that non-disadvantaged pupils’ attainment will be sustained and improved alongside progress for their disadvantaged peers.</w:t>
            </w:r>
          </w:p>
          <w:p w14:paraId="104226D9" w14:textId="241E0C72" w:rsidR="009C0596" w:rsidRPr="00EA097A" w:rsidRDefault="49B477BE" w:rsidP="009C0596">
            <w:pPr>
              <w:rPr>
                <w:rFonts w:cs="Arial"/>
                <w:color w:val="auto"/>
              </w:rPr>
            </w:pPr>
            <w:r w:rsidRPr="59801B34">
              <w:rPr>
                <w:rFonts w:cs="Arial"/>
                <w:color w:val="auto"/>
              </w:rPr>
              <w:t>Our strategy will continue to consider where additional support is required for pupils who</w:t>
            </w:r>
            <w:r w:rsidR="3094EF42" w:rsidRPr="59801B34">
              <w:rPr>
                <w:rFonts w:cs="Arial"/>
                <w:color w:val="auto"/>
              </w:rPr>
              <w:t xml:space="preserve"> need reading intervention. </w:t>
            </w:r>
            <w:r w:rsidR="1D59BB66" w:rsidRPr="59801B34">
              <w:rPr>
                <w:rFonts w:cs="Arial"/>
                <w:color w:val="auto"/>
              </w:rPr>
              <w:t>We know that reading can be a significant barrier for disadvantaged students which is why this is a key part of our strategy.</w:t>
            </w:r>
            <w:r w:rsidR="1ECE37F5" w:rsidRPr="59801B34">
              <w:rPr>
                <w:rFonts w:cs="Arial"/>
                <w:color w:val="auto"/>
              </w:rPr>
              <w:t xml:space="preserve"> We will endeavour to ensure that a</w:t>
            </w:r>
            <w:r w:rsidR="299B3BF1" w:rsidRPr="59801B34">
              <w:rPr>
                <w:rFonts w:cs="Arial"/>
                <w:color w:val="auto"/>
              </w:rPr>
              <w:t xml:space="preserve">ll students, including </w:t>
            </w:r>
            <w:r w:rsidR="1ECE37F5" w:rsidRPr="59801B34">
              <w:rPr>
                <w:rFonts w:cs="Arial"/>
                <w:color w:val="auto"/>
              </w:rPr>
              <w:t>Pupil Premium students</w:t>
            </w:r>
            <w:r w:rsidR="4FB22A96" w:rsidRPr="59801B34">
              <w:rPr>
                <w:rFonts w:cs="Arial"/>
                <w:color w:val="auto"/>
              </w:rPr>
              <w:t>,</w:t>
            </w:r>
            <w:r w:rsidR="1ECE37F5" w:rsidRPr="59801B34">
              <w:rPr>
                <w:rFonts w:cs="Arial"/>
                <w:color w:val="auto"/>
              </w:rPr>
              <w:t xml:space="preserve"> ha</w:t>
            </w:r>
            <w:r w:rsidR="6AF8C368" w:rsidRPr="59801B34">
              <w:rPr>
                <w:rFonts w:cs="Arial"/>
                <w:color w:val="auto"/>
              </w:rPr>
              <w:t xml:space="preserve">ve a reading age that </w:t>
            </w:r>
            <w:r w:rsidR="4D9EBB4A" w:rsidRPr="59801B34">
              <w:rPr>
                <w:rFonts w:cs="Arial"/>
                <w:color w:val="auto"/>
              </w:rPr>
              <w:t xml:space="preserve">does </w:t>
            </w:r>
            <w:r w:rsidR="2D565055" w:rsidRPr="59801B34">
              <w:rPr>
                <w:rFonts w:cs="Arial"/>
                <w:color w:val="auto"/>
              </w:rPr>
              <w:t>not fall</w:t>
            </w:r>
            <w:r w:rsidR="4D9EBB4A" w:rsidRPr="59801B34">
              <w:rPr>
                <w:rFonts w:cs="Arial"/>
                <w:color w:val="auto"/>
              </w:rPr>
              <w:t xml:space="preserve"> below their actual age. </w:t>
            </w:r>
          </w:p>
          <w:p w14:paraId="54D917FD" w14:textId="6057EA9D" w:rsidR="009C0596" w:rsidRPr="00EA097A" w:rsidRDefault="49B477BE" w:rsidP="59801B34">
            <w:pPr>
              <w:spacing w:after="120"/>
              <w:rPr>
                <w:rFonts w:cs="Arial"/>
                <w:color w:val="auto"/>
                <w:lang w:val="en-US"/>
              </w:rPr>
            </w:pPr>
            <w:r w:rsidRPr="59801B34">
              <w:rPr>
                <w:rFonts w:cs="Arial"/>
                <w:color w:val="auto"/>
                <w:lang w:val="en-US"/>
              </w:rPr>
              <w:t xml:space="preserve">Our approach will </w:t>
            </w:r>
            <w:r w:rsidR="51D79967" w:rsidRPr="59801B34">
              <w:rPr>
                <w:rFonts w:cs="Arial"/>
                <w:color w:val="auto"/>
                <w:lang w:val="en-US"/>
              </w:rPr>
              <w:t xml:space="preserve">also </w:t>
            </w:r>
            <w:r w:rsidRPr="59801B34">
              <w:rPr>
                <w:rFonts w:cs="Arial"/>
                <w:color w:val="auto"/>
                <w:lang w:val="en-US"/>
              </w:rPr>
              <w:t xml:space="preserve">be responsive to common challenges and individual needs, rooted in robust diagnostic assessment, not assumptions about the impact of disadvantage. The approaches we have adopted </w:t>
            </w:r>
            <w:r w:rsidR="20DCD7A6" w:rsidRPr="59801B34">
              <w:rPr>
                <w:rFonts w:cs="Arial"/>
                <w:color w:val="auto"/>
                <w:lang w:val="en-US"/>
              </w:rPr>
              <w:t>complement</w:t>
            </w:r>
            <w:r w:rsidRPr="59801B34">
              <w:rPr>
                <w:rFonts w:cs="Arial"/>
                <w:color w:val="auto"/>
                <w:lang w:val="en-US"/>
              </w:rPr>
              <w:t xml:space="preserve"> each other to help pupils excel. To ensure they are effective we will:</w:t>
            </w:r>
          </w:p>
          <w:p w14:paraId="277A37DA" w14:textId="77777777" w:rsidR="009C0596" w:rsidRPr="00EA097A" w:rsidRDefault="009C0596" w:rsidP="009C0596">
            <w:pPr>
              <w:pStyle w:val="ListParagraph"/>
              <w:numPr>
                <w:ilvl w:val="0"/>
                <w:numId w:val="23"/>
              </w:numPr>
              <w:autoSpaceDN/>
              <w:ind w:left="714" w:hanging="357"/>
              <w:rPr>
                <w:rFonts w:cs="Arial"/>
                <w:iCs/>
                <w:color w:val="auto"/>
                <w:lang w:val="en-US"/>
              </w:rPr>
            </w:pPr>
            <w:r w:rsidRPr="00EA097A">
              <w:rPr>
                <w:rFonts w:cs="Arial"/>
                <w:iCs/>
                <w:color w:val="auto"/>
                <w:lang w:val="en-US"/>
              </w:rPr>
              <w:t>ensure disadvantaged pupils are challenged in the work that they’re set</w:t>
            </w:r>
          </w:p>
          <w:p w14:paraId="16BD721A" w14:textId="2ADAAAAA" w:rsidR="009C0596" w:rsidRPr="00EA097A" w:rsidRDefault="49B477BE" w:rsidP="59801B34">
            <w:pPr>
              <w:pStyle w:val="ListParagraph"/>
              <w:autoSpaceDN/>
              <w:ind w:left="714" w:hanging="357"/>
              <w:rPr>
                <w:rFonts w:cs="Arial"/>
                <w:color w:val="auto"/>
                <w:lang w:val="en-US"/>
              </w:rPr>
            </w:pPr>
            <w:r w:rsidRPr="59801B34">
              <w:rPr>
                <w:rFonts w:cs="Arial"/>
                <w:color w:val="auto"/>
              </w:rPr>
              <w:t>act early to intervene at the point need is identified</w:t>
            </w:r>
            <w:r w:rsidR="57E795D1" w:rsidRPr="59801B34">
              <w:rPr>
                <w:rFonts w:cs="Arial"/>
                <w:color w:val="auto"/>
              </w:rPr>
              <w:t>.</w:t>
            </w:r>
          </w:p>
          <w:p w14:paraId="55F5B1A9" w14:textId="63E2A0B5" w:rsidR="00E66558" w:rsidRPr="00AF0618" w:rsidRDefault="49B477BE" w:rsidP="59801B34">
            <w:pPr>
              <w:pStyle w:val="ListParagraph"/>
              <w:ind w:left="714" w:hanging="357"/>
              <w:rPr>
                <w:rFonts w:cs="Arial"/>
                <w:color w:val="auto"/>
                <w:lang w:val="en-US"/>
              </w:rPr>
            </w:pPr>
            <w:r w:rsidRPr="59801B34">
              <w:rPr>
                <w:rFonts w:cs="Arial"/>
                <w:color w:val="auto"/>
                <w:lang w:val="en-US"/>
              </w:rPr>
              <w:t>adopt</w:t>
            </w:r>
            <w:r w:rsidRPr="59801B34">
              <w:rPr>
                <w:rFonts w:cs="Arial"/>
                <w:color w:val="auto"/>
              </w:rPr>
              <w:t xml:space="preserve"> a whole school approach in which all staff take responsibility for disadvantaged pupils’ outcomes and raise expectations of what they can achieve</w:t>
            </w:r>
          </w:p>
          <w:p w14:paraId="22E6C1FA" w14:textId="30F711FF" w:rsidR="00E66558" w:rsidRPr="00AF0618" w:rsidRDefault="50AE922E" w:rsidP="59801B34">
            <w:pPr>
              <w:rPr>
                <w:rFonts w:cs="Arial"/>
                <w:color w:val="auto"/>
              </w:rPr>
            </w:pPr>
            <w:r w:rsidRPr="59801B34">
              <w:rPr>
                <w:rFonts w:cs="Arial"/>
                <w:color w:val="auto"/>
              </w:rPr>
              <w:t>We want our students to be equally enriched with the extra-curricular opportunities that non-</w:t>
            </w:r>
            <w:r w:rsidR="0D1320FB" w:rsidRPr="59801B34">
              <w:rPr>
                <w:rFonts w:cs="Arial"/>
                <w:color w:val="auto"/>
              </w:rPr>
              <w:t>disadvantaged students benefit from. This is why we will support disadvantaged students with economic barriers which could f</w:t>
            </w:r>
            <w:r w:rsidR="7418C3BA" w:rsidRPr="59801B34">
              <w:rPr>
                <w:rFonts w:cs="Arial"/>
                <w:color w:val="auto"/>
              </w:rPr>
              <w:t xml:space="preserve">ace accessing cultural school trips. </w:t>
            </w:r>
          </w:p>
          <w:p w14:paraId="2A7D54E9" w14:textId="57EE9CF1" w:rsidR="00E66558" w:rsidRPr="00AF0618" w:rsidRDefault="19C5114B" w:rsidP="59801B34">
            <w:pPr>
              <w:rPr>
                <w:rFonts w:cs="Arial"/>
                <w:color w:val="auto"/>
              </w:rPr>
            </w:pPr>
            <w:r w:rsidRPr="59801B34">
              <w:rPr>
                <w:rFonts w:cs="Arial"/>
                <w:color w:val="auto"/>
              </w:rPr>
              <w:lastRenderedPageBreak/>
              <w:t>We have used inte</w:t>
            </w:r>
            <w:r w:rsidR="4D6C8DE2" w:rsidRPr="59801B34">
              <w:rPr>
                <w:rFonts w:cs="Arial"/>
                <w:color w:val="auto"/>
              </w:rPr>
              <w:t xml:space="preserve">rnal data and external evidence to support and inform our challenges and strategies.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9801B3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27B34F6A" w:rsidP="59801B34">
            <w:pPr>
              <w:pStyle w:val="TableHeader"/>
              <w:ind w:left="0" w:right="0"/>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27B34F6A" w:rsidP="59801B34">
            <w:pPr>
              <w:pStyle w:val="TableHeader"/>
              <w:ind w:left="0" w:right="0"/>
            </w:pPr>
            <w:r>
              <w:t xml:space="preserve">Detail of challenge </w:t>
            </w:r>
          </w:p>
        </w:tc>
      </w:tr>
      <w:tr w:rsidR="00E66558" w14:paraId="2A7D54F2" w14:textId="77777777" w:rsidTr="59801B3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27B34F6A" w:rsidP="59801B34">
            <w:pPr>
              <w:pStyle w:val="TableRow"/>
              <w:ind w:left="0" w:right="0"/>
              <w:jc w:val="center"/>
              <w:rPr>
                <w:sz w:val="22"/>
                <w:szCs w:val="22"/>
              </w:rPr>
            </w:pPr>
            <w:r w:rsidRPr="59801B34">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06C11" w14:textId="23F357FB" w:rsidR="00E66558" w:rsidRDefault="45148D62" w:rsidP="59801B34">
            <w:pPr>
              <w:pStyle w:val="TableRowCentered"/>
              <w:ind w:left="0" w:right="0"/>
              <w:jc w:val="left"/>
              <w:rPr>
                <w:rFonts w:eastAsia="Arial" w:cs="Arial"/>
                <w:i/>
                <w:iCs/>
                <w:szCs w:val="24"/>
              </w:rPr>
            </w:pPr>
            <w:r w:rsidRPr="59801B34">
              <w:rPr>
                <w:rFonts w:eastAsia="Arial" w:cs="Arial"/>
                <w:i/>
                <w:iCs/>
                <w:szCs w:val="24"/>
              </w:rPr>
              <w:t xml:space="preserve">We want to narrow the attainment gap between disadvantaged and non-disadvantaged students. The national picture indicates that the gap has widened since </w:t>
            </w:r>
            <w:proofErr w:type="spellStart"/>
            <w:r w:rsidR="79DDE34F" w:rsidRPr="59801B34">
              <w:rPr>
                <w:rFonts w:eastAsia="Arial" w:cs="Arial"/>
                <w:i/>
                <w:iCs/>
                <w:szCs w:val="24"/>
              </w:rPr>
              <w:t>Covid</w:t>
            </w:r>
            <w:proofErr w:type="spellEnd"/>
            <w:r w:rsidR="79DDE34F" w:rsidRPr="59801B34">
              <w:rPr>
                <w:rFonts w:eastAsia="Arial" w:cs="Arial"/>
                <w:i/>
                <w:iCs/>
                <w:szCs w:val="24"/>
              </w:rPr>
              <w:t xml:space="preserve">. </w:t>
            </w:r>
            <w:r w:rsidR="3C817F80" w:rsidRPr="59801B34">
              <w:rPr>
                <w:rFonts w:eastAsia="Arial" w:cs="Arial"/>
                <w:i/>
                <w:iCs/>
                <w:szCs w:val="24"/>
              </w:rPr>
              <w:t xml:space="preserve">Although our </w:t>
            </w:r>
            <w:r w:rsidR="71701E5B" w:rsidRPr="59801B34">
              <w:rPr>
                <w:rFonts w:eastAsia="Arial" w:cs="Arial"/>
                <w:i/>
                <w:iCs/>
                <w:szCs w:val="24"/>
              </w:rPr>
              <w:t xml:space="preserve">attainment </w:t>
            </w:r>
            <w:r w:rsidR="3C817F80" w:rsidRPr="59801B34">
              <w:rPr>
                <w:rFonts w:eastAsia="Arial" w:cs="Arial"/>
                <w:i/>
                <w:iCs/>
                <w:szCs w:val="24"/>
              </w:rPr>
              <w:t>gaps are narrowing, our PP students are still making half a grade les</w:t>
            </w:r>
            <w:r w:rsidR="19356A15" w:rsidRPr="59801B34">
              <w:rPr>
                <w:rFonts w:eastAsia="Arial" w:cs="Arial"/>
                <w:i/>
                <w:iCs/>
                <w:szCs w:val="24"/>
              </w:rPr>
              <w:t xml:space="preserve">s progress compared to Non-PP students. </w:t>
            </w:r>
          </w:p>
          <w:p w14:paraId="1FC7B588" w14:textId="22E27CB9" w:rsidR="00E66558" w:rsidRDefault="19356A15" w:rsidP="59801B34">
            <w:pPr>
              <w:pStyle w:val="TableRowCentered"/>
              <w:ind w:left="0" w:right="0"/>
              <w:jc w:val="left"/>
              <w:rPr>
                <w:rFonts w:eastAsia="Arial" w:cs="Arial"/>
                <w:i/>
                <w:iCs/>
                <w:szCs w:val="24"/>
              </w:rPr>
            </w:pPr>
            <w:r w:rsidRPr="59801B34">
              <w:rPr>
                <w:rFonts w:eastAsia="Arial" w:cs="Arial"/>
                <w:i/>
                <w:iCs/>
                <w:szCs w:val="24"/>
              </w:rPr>
              <w:t>Class of 2024</w:t>
            </w:r>
            <w:r w:rsidR="74CE2E71" w:rsidRPr="59801B34">
              <w:rPr>
                <w:rFonts w:eastAsia="Arial" w:cs="Arial"/>
                <w:i/>
                <w:iCs/>
                <w:szCs w:val="24"/>
              </w:rPr>
              <w:t xml:space="preserve"> outcomes</w:t>
            </w:r>
            <w:r w:rsidRPr="59801B34">
              <w:rPr>
                <w:rFonts w:eastAsia="Arial" w:cs="Arial"/>
                <w:i/>
                <w:iCs/>
                <w:szCs w:val="24"/>
              </w:rPr>
              <w:t>:</w:t>
            </w:r>
          </w:p>
          <w:p w14:paraId="1594725E" w14:textId="724B8ABB" w:rsidR="00E66558" w:rsidRDefault="19356A15" w:rsidP="59801B34">
            <w:pPr>
              <w:pStyle w:val="TableRowCentered"/>
              <w:ind w:left="0" w:right="0"/>
              <w:jc w:val="left"/>
              <w:rPr>
                <w:rFonts w:eastAsia="Arial" w:cs="Arial"/>
                <w:i/>
                <w:iCs/>
                <w:szCs w:val="24"/>
              </w:rPr>
            </w:pPr>
            <w:r w:rsidRPr="59801B34">
              <w:rPr>
                <w:rFonts w:eastAsia="Arial" w:cs="Arial"/>
                <w:i/>
                <w:iCs/>
                <w:szCs w:val="24"/>
              </w:rPr>
              <w:t>Progress 8:</w:t>
            </w:r>
          </w:p>
          <w:p w14:paraId="011031C9" w14:textId="19782C3B" w:rsidR="00E66558" w:rsidRDefault="19356A15" w:rsidP="59801B34">
            <w:pPr>
              <w:pStyle w:val="TableRowCentered"/>
              <w:ind w:left="0" w:right="0"/>
              <w:jc w:val="left"/>
              <w:rPr>
                <w:rFonts w:eastAsia="Arial" w:cs="Arial"/>
                <w:i/>
                <w:iCs/>
                <w:szCs w:val="24"/>
              </w:rPr>
            </w:pPr>
            <w:proofErr w:type="gramStart"/>
            <w:r w:rsidRPr="59801B34">
              <w:rPr>
                <w:rFonts w:eastAsia="Arial" w:cs="Arial"/>
                <w:i/>
                <w:iCs/>
                <w:szCs w:val="24"/>
              </w:rPr>
              <w:t>Non PP</w:t>
            </w:r>
            <w:proofErr w:type="gramEnd"/>
            <w:r w:rsidRPr="59801B34">
              <w:rPr>
                <w:rFonts w:eastAsia="Arial" w:cs="Arial"/>
                <w:i/>
                <w:iCs/>
                <w:szCs w:val="24"/>
              </w:rPr>
              <w:t xml:space="preserve"> -0.06</w:t>
            </w:r>
          </w:p>
          <w:p w14:paraId="3767DAA5" w14:textId="7BBA3C1D" w:rsidR="00E66558" w:rsidRDefault="19356A15" w:rsidP="59801B34">
            <w:pPr>
              <w:pStyle w:val="TableRowCentered"/>
              <w:ind w:left="0" w:right="0"/>
              <w:jc w:val="left"/>
              <w:rPr>
                <w:rFonts w:eastAsia="Arial" w:cs="Arial"/>
                <w:i/>
                <w:iCs/>
                <w:szCs w:val="24"/>
              </w:rPr>
            </w:pPr>
            <w:r w:rsidRPr="59801B34">
              <w:rPr>
                <w:rFonts w:eastAsia="Arial" w:cs="Arial"/>
                <w:i/>
                <w:iCs/>
                <w:szCs w:val="24"/>
              </w:rPr>
              <w:t xml:space="preserve">PP –0.57 </w:t>
            </w:r>
          </w:p>
          <w:p w14:paraId="36571107" w14:textId="2FFE1A0F" w:rsidR="00E66558" w:rsidRDefault="79DDE34F" w:rsidP="59801B34">
            <w:pPr>
              <w:pStyle w:val="TableRowCentered"/>
              <w:ind w:left="0" w:right="0"/>
              <w:jc w:val="left"/>
              <w:rPr>
                <w:rFonts w:eastAsia="Arial" w:cs="Arial"/>
                <w:i/>
                <w:iCs/>
                <w:szCs w:val="24"/>
              </w:rPr>
            </w:pPr>
            <w:r w:rsidRPr="59801B34">
              <w:rPr>
                <w:rFonts w:eastAsia="Arial" w:cs="Arial"/>
                <w:i/>
                <w:iCs/>
                <w:szCs w:val="24"/>
              </w:rPr>
              <w:t xml:space="preserve">Research tells us that the largest gains </w:t>
            </w:r>
            <w:r w:rsidR="0AF27A9A" w:rsidRPr="59801B34">
              <w:rPr>
                <w:rFonts w:eastAsia="Arial" w:cs="Arial"/>
                <w:i/>
                <w:iCs/>
                <w:szCs w:val="24"/>
              </w:rPr>
              <w:t xml:space="preserve">in attainment and progress </w:t>
            </w:r>
            <w:r w:rsidRPr="59801B34">
              <w:rPr>
                <w:rFonts w:eastAsia="Arial" w:cs="Arial"/>
                <w:i/>
                <w:iCs/>
                <w:szCs w:val="24"/>
              </w:rPr>
              <w:t>can be made from high quality teaching</w:t>
            </w:r>
            <w:r w:rsidR="61B6F4E1" w:rsidRPr="59801B34">
              <w:rPr>
                <w:rFonts w:eastAsia="Arial" w:cs="Arial"/>
                <w:i/>
                <w:iCs/>
                <w:szCs w:val="24"/>
              </w:rPr>
              <w:t xml:space="preserve">. </w:t>
            </w:r>
            <w:r w:rsidR="30BBC019" w:rsidRPr="59801B34">
              <w:rPr>
                <w:rFonts w:eastAsia="Arial" w:cs="Arial"/>
                <w:i/>
                <w:iCs/>
                <w:szCs w:val="24"/>
              </w:rPr>
              <w:t xml:space="preserve">As the ‘EEF Guide to Pupil Premium’ </w:t>
            </w:r>
            <w:r w:rsidR="5DB4C440" w:rsidRPr="59801B34">
              <w:rPr>
                <w:rFonts w:eastAsia="Arial" w:cs="Arial"/>
                <w:i/>
                <w:iCs/>
                <w:szCs w:val="24"/>
              </w:rPr>
              <w:t xml:space="preserve">recommends, </w:t>
            </w:r>
            <w:r w:rsidR="6E6437DE" w:rsidRPr="59801B34">
              <w:rPr>
                <w:rFonts w:eastAsia="Arial" w:cs="Arial"/>
                <w:i/>
                <w:iCs/>
                <w:szCs w:val="24"/>
              </w:rPr>
              <w:t>‘</w:t>
            </w:r>
            <w:r w:rsidR="5DB4C440" w:rsidRPr="59801B34">
              <w:rPr>
                <w:rFonts w:eastAsia="Arial" w:cs="Arial"/>
                <w:i/>
                <w:iCs/>
                <w:szCs w:val="24"/>
              </w:rPr>
              <w:t xml:space="preserve">there is a need </w:t>
            </w:r>
            <w:r w:rsidR="4B838E94" w:rsidRPr="59801B34">
              <w:rPr>
                <w:rFonts w:eastAsia="Arial" w:cs="Arial"/>
                <w:i/>
                <w:iCs/>
                <w:szCs w:val="24"/>
              </w:rPr>
              <w:t>to ensure that we have a highly effective teacher is in front of every class, and that every teacher is supported to keep improving.</w:t>
            </w:r>
            <w:r w:rsidR="4A1FBD91" w:rsidRPr="59801B34">
              <w:rPr>
                <w:rFonts w:eastAsia="Arial" w:cs="Arial"/>
                <w:i/>
                <w:iCs/>
                <w:szCs w:val="24"/>
              </w:rPr>
              <w:t>’</w:t>
            </w:r>
            <w:r w:rsidR="30BBC019" w:rsidRPr="59801B34">
              <w:rPr>
                <w:rFonts w:eastAsia="Arial" w:cs="Arial"/>
                <w:i/>
                <w:iCs/>
                <w:szCs w:val="24"/>
              </w:rPr>
              <w:t xml:space="preserve"> </w:t>
            </w:r>
            <w:r w:rsidR="4F2EBBD4" w:rsidRPr="59801B34">
              <w:rPr>
                <w:rFonts w:eastAsia="Arial" w:cs="Arial"/>
                <w:i/>
                <w:iCs/>
                <w:szCs w:val="24"/>
              </w:rPr>
              <w:t xml:space="preserve">The challenge is to ensure </w:t>
            </w:r>
            <w:r w:rsidR="283BE89A" w:rsidRPr="59801B34">
              <w:rPr>
                <w:rFonts w:eastAsia="Arial" w:cs="Arial"/>
                <w:i/>
                <w:iCs/>
                <w:szCs w:val="24"/>
              </w:rPr>
              <w:t xml:space="preserve">that our </w:t>
            </w:r>
            <w:r w:rsidR="20E21D2C" w:rsidRPr="59801B34">
              <w:rPr>
                <w:rFonts w:eastAsia="Arial" w:cs="Arial"/>
                <w:i/>
                <w:iCs/>
                <w:szCs w:val="24"/>
              </w:rPr>
              <w:t>teachers are</w:t>
            </w:r>
            <w:r w:rsidR="283BE89A" w:rsidRPr="59801B34">
              <w:rPr>
                <w:rFonts w:eastAsia="Arial" w:cs="Arial"/>
                <w:i/>
                <w:iCs/>
                <w:szCs w:val="24"/>
              </w:rPr>
              <w:t xml:space="preserve"> upskilled, </w:t>
            </w:r>
            <w:r w:rsidR="33E9B9DE" w:rsidRPr="59801B34">
              <w:rPr>
                <w:rFonts w:eastAsia="Arial" w:cs="Arial"/>
                <w:i/>
                <w:iCs/>
                <w:szCs w:val="24"/>
              </w:rPr>
              <w:t xml:space="preserve">developed and </w:t>
            </w:r>
            <w:r w:rsidR="5204AAC0" w:rsidRPr="59801B34">
              <w:rPr>
                <w:rFonts w:eastAsia="Arial" w:cs="Arial"/>
                <w:i/>
                <w:iCs/>
                <w:szCs w:val="24"/>
              </w:rPr>
              <w:t>resourced</w:t>
            </w:r>
            <w:r w:rsidR="283BE89A" w:rsidRPr="59801B34">
              <w:rPr>
                <w:rFonts w:eastAsia="Arial" w:cs="Arial"/>
                <w:i/>
                <w:iCs/>
                <w:szCs w:val="24"/>
              </w:rPr>
              <w:t xml:space="preserve"> </w:t>
            </w:r>
            <w:r w:rsidR="4F89E0F7" w:rsidRPr="59801B34">
              <w:rPr>
                <w:rFonts w:eastAsia="Arial" w:cs="Arial"/>
                <w:i/>
                <w:iCs/>
                <w:szCs w:val="24"/>
              </w:rPr>
              <w:t xml:space="preserve">so that </w:t>
            </w:r>
            <w:r w:rsidR="5DF6ED70" w:rsidRPr="59801B34">
              <w:rPr>
                <w:rFonts w:eastAsia="Arial" w:cs="Arial"/>
                <w:i/>
                <w:iCs/>
                <w:szCs w:val="24"/>
              </w:rPr>
              <w:t xml:space="preserve">our </w:t>
            </w:r>
            <w:r w:rsidR="4F89E0F7" w:rsidRPr="59801B34">
              <w:rPr>
                <w:rFonts w:eastAsia="Arial" w:cs="Arial"/>
                <w:i/>
                <w:iCs/>
                <w:szCs w:val="24"/>
              </w:rPr>
              <w:t xml:space="preserve">PP students benefit from consistently </w:t>
            </w:r>
            <w:r w:rsidR="5BF849AC" w:rsidRPr="59801B34">
              <w:rPr>
                <w:rFonts w:eastAsia="Arial" w:cs="Arial"/>
                <w:i/>
                <w:iCs/>
                <w:szCs w:val="24"/>
              </w:rPr>
              <w:t>high-quality</w:t>
            </w:r>
            <w:r w:rsidR="4F89E0F7" w:rsidRPr="59801B34">
              <w:rPr>
                <w:rFonts w:eastAsia="Arial" w:cs="Arial"/>
                <w:i/>
                <w:iCs/>
                <w:szCs w:val="24"/>
              </w:rPr>
              <w:t xml:space="preserve"> learning.</w:t>
            </w:r>
          </w:p>
          <w:p w14:paraId="2A7D54F1" w14:textId="624DEE16" w:rsidR="00E66558" w:rsidRDefault="00E66558" w:rsidP="59801B34">
            <w:pPr>
              <w:pStyle w:val="TableRowCentered"/>
              <w:ind w:left="0" w:right="0"/>
              <w:jc w:val="left"/>
              <w:rPr>
                <w:rFonts w:eastAsia="Arial" w:cs="Arial"/>
                <w:i/>
                <w:iCs/>
                <w:sz w:val="22"/>
                <w:szCs w:val="22"/>
              </w:rPr>
            </w:pPr>
          </w:p>
        </w:tc>
      </w:tr>
      <w:tr w:rsidR="00E66558" w14:paraId="2A7D54F5" w14:textId="77777777" w:rsidTr="59801B3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27B34F6A" w:rsidP="59801B34">
            <w:pPr>
              <w:pStyle w:val="TableRow"/>
              <w:ind w:left="0" w:right="0"/>
              <w:jc w:val="center"/>
              <w:rPr>
                <w:sz w:val="22"/>
                <w:szCs w:val="22"/>
              </w:rPr>
            </w:pPr>
            <w:r w:rsidRPr="59801B34">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C451" w14:textId="5D5144EA" w:rsidR="00E66558" w:rsidRDefault="739E9D31" w:rsidP="59801B34">
            <w:pPr>
              <w:pStyle w:val="TableRowCentered"/>
              <w:ind w:left="0" w:right="0"/>
              <w:jc w:val="left"/>
              <w:rPr>
                <w:szCs w:val="24"/>
              </w:rPr>
            </w:pPr>
            <w:r w:rsidRPr="59801B34">
              <w:rPr>
                <w:szCs w:val="24"/>
              </w:rPr>
              <w:t xml:space="preserve">We want to ensure that </w:t>
            </w:r>
            <w:r w:rsidR="0FC1E1BD" w:rsidRPr="59801B34">
              <w:rPr>
                <w:szCs w:val="24"/>
              </w:rPr>
              <w:t>all lea</w:t>
            </w:r>
            <w:r w:rsidR="7B318366" w:rsidRPr="59801B34">
              <w:rPr>
                <w:szCs w:val="24"/>
              </w:rPr>
              <w:t xml:space="preserve">rners </w:t>
            </w:r>
            <w:r w:rsidRPr="59801B34">
              <w:rPr>
                <w:szCs w:val="24"/>
              </w:rPr>
              <w:t xml:space="preserve">leave school as confident and competent readers. </w:t>
            </w:r>
            <w:r w:rsidR="3CD0C749" w:rsidRPr="59801B34">
              <w:rPr>
                <w:szCs w:val="24"/>
              </w:rPr>
              <w:t xml:space="preserve">Evidence from the EFF </w:t>
            </w:r>
            <w:r w:rsidR="70D34A64" w:rsidRPr="59801B34">
              <w:rPr>
                <w:szCs w:val="24"/>
              </w:rPr>
              <w:t>show</w:t>
            </w:r>
            <w:r w:rsidR="4DED02A7" w:rsidRPr="59801B34">
              <w:rPr>
                <w:szCs w:val="24"/>
              </w:rPr>
              <w:t>s</w:t>
            </w:r>
            <w:r w:rsidR="3CD0C749" w:rsidRPr="59801B34">
              <w:rPr>
                <w:szCs w:val="24"/>
              </w:rPr>
              <w:t xml:space="preserve"> that three quarters of schools</w:t>
            </w:r>
            <w:r w:rsidR="2E13CE3E" w:rsidRPr="59801B34">
              <w:rPr>
                <w:szCs w:val="24"/>
              </w:rPr>
              <w:t xml:space="preserve"> in England </w:t>
            </w:r>
            <w:r w:rsidR="733CE7FC" w:rsidRPr="59801B34">
              <w:rPr>
                <w:szCs w:val="24"/>
              </w:rPr>
              <w:t>state</w:t>
            </w:r>
            <w:r w:rsidR="3602E661" w:rsidRPr="59801B34">
              <w:rPr>
                <w:szCs w:val="24"/>
              </w:rPr>
              <w:t xml:space="preserve"> that low-reading levels is one of the biggest challenges affecting socio-</w:t>
            </w:r>
            <w:r w:rsidR="34308FC5" w:rsidRPr="59801B34">
              <w:rPr>
                <w:szCs w:val="24"/>
              </w:rPr>
              <w:t>economically</w:t>
            </w:r>
            <w:r w:rsidR="3602E661" w:rsidRPr="59801B34">
              <w:rPr>
                <w:szCs w:val="24"/>
              </w:rPr>
              <w:t xml:space="preserve"> disadvantaged </w:t>
            </w:r>
            <w:r w:rsidR="56321B22" w:rsidRPr="59801B34">
              <w:rPr>
                <w:szCs w:val="24"/>
              </w:rPr>
              <w:t>pupils</w:t>
            </w:r>
            <w:r w:rsidR="322F838D" w:rsidRPr="59801B34">
              <w:rPr>
                <w:szCs w:val="24"/>
              </w:rPr>
              <w:t xml:space="preserve">’ </w:t>
            </w:r>
            <w:r w:rsidR="40FBED86" w:rsidRPr="59801B34">
              <w:rPr>
                <w:szCs w:val="24"/>
              </w:rPr>
              <w:t>academic</w:t>
            </w:r>
            <w:r w:rsidR="322F838D" w:rsidRPr="59801B34">
              <w:rPr>
                <w:szCs w:val="24"/>
              </w:rPr>
              <w:t xml:space="preserve"> </w:t>
            </w:r>
            <w:r w:rsidR="56029983" w:rsidRPr="59801B34">
              <w:rPr>
                <w:szCs w:val="24"/>
              </w:rPr>
              <w:t>achievement</w:t>
            </w:r>
            <w:r w:rsidR="322F838D" w:rsidRPr="59801B34">
              <w:rPr>
                <w:szCs w:val="24"/>
              </w:rPr>
              <w:t xml:space="preserve">. </w:t>
            </w:r>
            <w:r w:rsidR="3A3F8A63" w:rsidRPr="59801B34">
              <w:rPr>
                <w:szCs w:val="24"/>
              </w:rPr>
              <w:t>Nationally,</w:t>
            </w:r>
            <w:r w:rsidR="1C102F8A" w:rsidRPr="59801B34">
              <w:rPr>
                <w:szCs w:val="24"/>
              </w:rPr>
              <w:t xml:space="preserve"> Key Stage 2 Reading Attainment</w:t>
            </w:r>
            <w:r w:rsidR="3A3F8A63" w:rsidRPr="59801B34">
              <w:rPr>
                <w:szCs w:val="24"/>
              </w:rPr>
              <w:t xml:space="preserve"> headline figures for 2023/2024</w:t>
            </w:r>
            <w:r w:rsidR="7BF7244F" w:rsidRPr="59801B34">
              <w:rPr>
                <w:szCs w:val="24"/>
              </w:rPr>
              <w:t xml:space="preserve"> </w:t>
            </w:r>
            <w:r w:rsidR="4A448074" w:rsidRPr="59801B34">
              <w:rPr>
                <w:szCs w:val="24"/>
              </w:rPr>
              <w:t>have the di</w:t>
            </w:r>
            <w:r w:rsidR="7BF7244F" w:rsidRPr="59801B34">
              <w:rPr>
                <w:szCs w:val="24"/>
              </w:rPr>
              <w:t>sadvantage gap at 3.12.</w:t>
            </w:r>
          </w:p>
          <w:p w14:paraId="2A7D54F4" w14:textId="21B28D94" w:rsidR="00E66558" w:rsidRDefault="1E6C1EED" w:rsidP="59801B34">
            <w:pPr>
              <w:pStyle w:val="TableRowCentered"/>
              <w:ind w:left="0" w:right="0"/>
              <w:jc w:val="left"/>
              <w:rPr>
                <w:szCs w:val="24"/>
              </w:rPr>
            </w:pPr>
            <w:r w:rsidRPr="59801B34">
              <w:rPr>
                <w:szCs w:val="24"/>
              </w:rPr>
              <w:t xml:space="preserve">Year 7 2024/2025 cohort – 25% of PP students failed to meet expected reading standard at KS2. </w:t>
            </w:r>
            <w:r w:rsidR="22FF74A6" w:rsidRPr="59801B34">
              <w:rPr>
                <w:szCs w:val="24"/>
              </w:rPr>
              <w:t>We want to reduce this percentage throughout KS3</w:t>
            </w:r>
            <w:r w:rsidR="4FE86F4B" w:rsidRPr="59801B34">
              <w:rPr>
                <w:szCs w:val="24"/>
              </w:rPr>
              <w:t xml:space="preserve"> </w:t>
            </w:r>
            <w:r w:rsidR="4B7773CB" w:rsidRPr="59801B34">
              <w:rPr>
                <w:szCs w:val="24"/>
              </w:rPr>
              <w:t>by offering</w:t>
            </w:r>
            <w:r w:rsidR="4FE86F4B" w:rsidRPr="59801B34">
              <w:rPr>
                <w:szCs w:val="24"/>
              </w:rPr>
              <w:t xml:space="preserve"> intensive and specifically designed reading intervention to ensure that all PP students start KS4 reading in line with their non-PP peers. </w:t>
            </w:r>
          </w:p>
        </w:tc>
      </w:tr>
      <w:tr w:rsidR="00E66558" w14:paraId="2A7D54F8" w14:textId="77777777" w:rsidTr="59801B3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27B34F6A" w:rsidP="59801B34">
            <w:pPr>
              <w:pStyle w:val="TableRow"/>
              <w:ind w:left="0" w:right="0"/>
              <w:jc w:val="center"/>
              <w:rPr>
                <w:sz w:val="22"/>
                <w:szCs w:val="22"/>
              </w:rPr>
            </w:pPr>
            <w:r w:rsidRPr="59801B34">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1B090ABC" w:rsidR="00E66558" w:rsidRDefault="04CD6B64" w:rsidP="59801B34">
            <w:pPr>
              <w:pStyle w:val="TableRowCentered"/>
              <w:ind w:left="0" w:right="0"/>
              <w:jc w:val="left"/>
              <w:rPr>
                <w:rFonts w:eastAsia="Arial" w:cs="Arial"/>
                <w:szCs w:val="24"/>
              </w:rPr>
            </w:pPr>
            <w:r w:rsidRPr="59801B34">
              <w:rPr>
                <w:rFonts w:eastAsia="Arial" w:cs="Arial"/>
                <w:color w:val="000000" w:themeColor="text1"/>
                <w:szCs w:val="24"/>
              </w:rPr>
              <w:t>Attendance to school of PP students is below that of the rest of the school. This reduces their hours in school and causes them to fall behind.  In 2019 the P8 Score for PP students with high attendance (96% +) was -0.19. The P8 score for PP students with attendance between 92-95% was -0.7</w:t>
            </w:r>
          </w:p>
        </w:tc>
      </w:tr>
      <w:tr w:rsidR="00E66558" w14:paraId="2A7D54FE" w14:textId="77777777" w:rsidTr="59801B3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64F2AE1A" w:rsidR="00E66558" w:rsidRDefault="2A0D22DA" w:rsidP="59801B34">
            <w:pPr>
              <w:pStyle w:val="TableRow"/>
              <w:ind w:left="0" w:right="0"/>
              <w:jc w:val="center"/>
              <w:rPr>
                <w:sz w:val="22"/>
                <w:szCs w:val="22"/>
              </w:rPr>
            </w:pPr>
            <w:bookmarkStart w:id="17" w:name="_Toc443397160"/>
            <w:r w:rsidRPr="59801B34">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62ED64AD" w:rsidR="00E66558" w:rsidRDefault="10DE5C0F" w:rsidP="59801B34">
            <w:pPr>
              <w:pStyle w:val="TableRowCentered"/>
              <w:ind w:left="0" w:right="0"/>
              <w:jc w:val="left"/>
              <w:rPr>
                <w:rFonts w:eastAsia="Arial" w:cs="Arial"/>
                <w:sz w:val="22"/>
                <w:szCs w:val="22"/>
              </w:rPr>
            </w:pPr>
            <w:r w:rsidRPr="59801B34">
              <w:rPr>
                <w:rFonts w:eastAsia="Arial" w:cs="Arial"/>
                <w:sz w:val="22"/>
                <w:szCs w:val="22"/>
              </w:rPr>
              <w:t>P</w:t>
            </w:r>
            <w:r w:rsidRPr="59801B34">
              <w:rPr>
                <w:rFonts w:eastAsia="Arial" w:cs="Arial"/>
                <w:szCs w:val="24"/>
              </w:rPr>
              <w:t xml:space="preserve">upil premium students can face </w:t>
            </w:r>
            <w:r w:rsidR="38DCBF31" w:rsidRPr="59801B34">
              <w:rPr>
                <w:rFonts w:eastAsia="Arial" w:cs="Arial"/>
                <w:szCs w:val="24"/>
              </w:rPr>
              <w:t xml:space="preserve">multiple and varied </w:t>
            </w:r>
            <w:r w:rsidRPr="59801B34">
              <w:rPr>
                <w:rFonts w:eastAsia="Arial" w:cs="Arial"/>
                <w:szCs w:val="24"/>
              </w:rPr>
              <w:t xml:space="preserve">barriers that can </w:t>
            </w:r>
            <w:r w:rsidR="0F5A1BFD" w:rsidRPr="59801B34">
              <w:rPr>
                <w:rFonts w:eastAsia="Arial" w:cs="Arial"/>
                <w:szCs w:val="24"/>
              </w:rPr>
              <w:t>prevent them from making the same progress as Non-PP students. We know from the research carried out by Lee Elliot Major in h</w:t>
            </w:r>
            <w:r w:rsidR="01EEBA68" w:rsidRPr="59801B34">
              <w:rPr>
                <w:rFonts w:eastAsia="Arial" w:cs="Arial"/>
                <w:szCs w:val="24"/>
              </w:rPr>
              <w:t xml:space="preserve">is work, </w:t>
            </w:r>
            <w:r w:rsidR="01EEBA68" w:rsidRPr="59801B34">
              <w:rPr>
                <w:rFonts w:eastAsia="Arial" w:cs="Arial"/>
                <w:szCs w:val="24"/>
              </w:rPr>
              <w:lastRenderedPageBreak/>
              <w:t xml:space="preserve">‘Equity in Education’ that disadvantaged students can face </w:t>
            </w:r>
            <w:r w:rsidR="19BD5590" w:rsidRPr="59801B34">
              <w:rPr>
                <w:rFonts w:eastAsia="Arial" w:cs="Arial"/>
                <w:szCs w:val="24"/>
              </w:rPr>
              <w:t>educational</w:t>
            </w:r>
            <w:r w:rsidR="01EEBA68" w:rsidRPr="59801B34">
              <w:rPr>
                <w:rFonts w:eastAsia="Arial" w:cs="Arial"/>
                <w:szCs w:val="24"/>
              </w:rPr>
              <w:t xml:space="preserve">, </w:t>
            </w:r>
            <w:r w:rsidR="3BEE5124" w:rsidRPr="59801B34">
              <w:rPr>
                <w:rFonts w:eastAsia="Arial" w:cs="Arial"/>
                <w:szCs w:val="24"/>
              </w:rPr>
              <w:t xml:space="preserve">cultural, social and emotional barriers as well as </w:t>
            </w:r>
            <w:r w:rsidR="7FAD1687" w:rsidRPr="59801B34">
              <w:rPr>
                <w:rFonts w:eastAsia="Arial" w:cs="Arial"/>
                <w:szCs w:val="24"/>
              </w:rPr>
              <w:t>economic</w:t>
            </w:r>
            <w:r w:rsidR="3BEE5124" w:rsidRPr="59801B34">
              <w:rPr>
                <w:rFonts w:eastAsia="Arial" w:cs="Arial"/>
                <w:szCs w:val="24"/>
              </w:rPr>
              <w:t xml:space="preserve"> ones. </w:t>
            </w:r>
            <w:r w:rsidR="7E5EB8D3" w:rsidRPr="59801B34">
              <w:rPr>
                <w:rFonts w:eastAsia="Arial" w:cs="Arial"/>
                <w:szCs w:val="24"/>
              </w:rPr>
              <w:t xml:space="preserve">PP students do not always have the support in place in these areas. </w:t>
            </w: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B1190D3" w:rsidR="00E66558" w:rsidRDefault="31C9AE0D" w:rsidP="59801B34">
            <w:pPr>
              <w:pStyle w:val="TableRow"/>
              <w:ind w:left="0" w:right="0"/>
              <w:rPr>
                <w:rFonts w:eastAsia="Arial" w:cs="Arial"/>
              </w:rPr>
            </w:pPr>
            <w:r w:rsidRPr="59801B34">
              <w:rPr>
                <w:rFonts w:eastAsia="Arial" w:cs="Arial"/>
              </w:rPr>
              <w:t xml:space="preserve">To have highly </w:t>
            </w:r>
            <w:r w:rsidRPr="59801B34">
              <w:rPr>
                <w:rFonts w:eastAsia="Arial" w:cs="Arial"/>
                <w:b/>
                <w:bCs/>
              </w:rPr>
              <w:t>effective teachers</w:t>
            </w:r>
            <w:r w:rsidRPr="59801B34">
              <w:rPr>
                <w:rFonts w:eastAsia="Arial" w:cs="Arial"/>
              </w:rPr>
              <w:t xml:space="preserve"> in every classroom.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53C99" w14:textId="524F5733" w:rsidR="00E66558" w:rsidRDefault="4A7AC23A" w:rsidP="59801B34">
            <w:pPr>
              <w:pStyle w:val="TableRowCentered"/>
              <w:ind w:left="0" w:right="0"/>
              <w:jc w:val="left"/>
              <w:rPr>
                <w:szCs w:val="24"/>
              </w:rPr>
            </w:pPr>
            <w:r w:rsidRPr="59801B34">
              <w:rPr>
                <w:szCs w:val="24"/>
              </w:rPr>
              <w:t xml:space="preserve">KS4 performance measures demonstrate that disadvantaged students </w:t>
            </w:r>
            <w:r w:rsidR="75BCC02A" w:rsidRPr="59801B34">
              <w:rPr>
                <w:szCs w:val="24"/>
              </w:rPr>
              <w:t>achieve</w:t>
            </w:r>
            <w:r w:rsidRPr="59801B34">
              <w:rPr>
                <w:szCs w:val="24"/>
              </w:rPr>
              <w:t xml:space="preserve"> an average Attainment 8 score </w:t>
            </w:r>
            <w:r w:rsidR="1B370B43" w:rsidRPr="59801B34">
              <w:rPr>
                <w:szCs w:val="24"/>
              </w:rPr>
              <w:t xml:space="preserve">of more than 36. The attainment 8 score </w:t>
            </w:r>
            <w:r w:rsidR="2E1EFBBE" w:rsidRPr="59801B34">
              <w:rPr>
                <w:szCs w:val="24"/>
              </w:rPr>
              <w:t xml:space="preserve">will have further narrowed between PP and non-PP. This attainment gap will also be evident in English and Maths. </w:t>
            </w:r>
            <w:r w:rsidR="7699F35E" w:rsidRPr="59801B34">
              <w:rPr>
                <w:szCs w:val="24"/>
              </w:rPr>
              <w:t xml:space="preserve">Our </w:t>
            </w:r>
            <w:r w:rsidR="31C9AE0D" w:rsidRPr="59801B34">
              <w:rPr>
                <w:szCs w:val="24"/>
              </w:rPr>
              <w:t xml:space="preserve">Quality assurance indicates that all teachers are meeting </w:t>
            </w:r>
            <w:r w:rsidR="70E66B24" w:rsidRPr="59801B34">
              <w:rPr>
                <w:szCs w:val="24"/>
              </w:rPr>
              <w:t xml:space="preserve">our high </w:t>
            </w:r>
            <w:r w:rsidR="31C9AE0D" w:rsidRPr="59801B34">
              <w:rPr>
                <w:szCs w:val="24"/>
              </w:rPr>
              <w:t>standard</w:t>
            </w:r>
            <w:r w:rsidR="1AB350A2" w:rsidRPr="59801B34">
              <w:rPr>
                <w:szCs w:val="24"/>
              </w:rPr>
              <w:t>s</w:t>
            </w:r>
            <w:r w:rsidR="31C9AE0D" w:rsidRPr="59801B34">
              <w:rPr>
                <w:szCs w:val="24"/>
              </w:rPr>
              <w:t>. There is a developmental</w:t>
            </w:r>
            <w:r w:rsidR="7BA4641D" w:rsidRPr="59801B34">
              <w:rPr>
                <w:szCs w:val="24"/>
              </w:rPr>
              <w:t xml:space="preserve"> plan in place for </w:t>
            </w:r>
            <w:r w:rsidR="31C9AE0D" w:rsidRPr="59801B34">
              <w:rPr>
                <w:szCs w:val="24"/>
              </w:rPr>
              <w:t>teachers</w:t>
            </w:r>
            <w:r w:rsidR="10C1E397" w:rsidRPr="59801B34">
              <w:rPr>
                <w:szCs w:val="24"/>
              </w:rPr>
              <w:t xml:space="preserve"> when standards are</w:t>
            </w:r>
            <w:r w:rsidR="31C9AE0D" w:rsidRPr="59801B34">
              <w:rPr>
                <w:szCs w:val="24"/>
              </w:rPr>
              <w:t xml:space="preserve"> not </w:t>
            </w:r>
            <w:r w:rsidR="065928AB" w:rsidRPr="59801B34">
              <w:rPr>
                <w:szCs w:val="24"/>
              </w:rPr>
              <w:t xml:space="preserve">being </w:t>
            </w:r>
            <w:r w:rsidR="31C9AE0D" w:rsidRPr="59801B34">
              <w:rPr>
                <w:szCs w:val="24"/>
              </w:rPr>
              <w:t>me</w:t>
            </w:r>
            <w:r w:rsidR="1E674B8C" w:rsidRPr="59801B34">
              <w:rPr>
                <w:szCs w:val="24"/>
              </w:rPr>
              <w:t>t</w:t>
            </w:r>
            <w:r w:rsidR="58932229" w:rsidRPr="59801B34">
              <w:rPr>
                <w:szCs w:val="24"/>
              </w:rPr>
              <w:t xml:space="preserve"> so that immediate action can be taken to support the relevant staff. </w:t>
            </w:r>
          </w:p>
          <w:p w14:paraId="2A7D5505" w14:textId="77D590D3" w:rsidR="00E66558" w:rsidRDefault="3814686C" w:rsidP="59801B34">
            <w:pPr>
              <w:pStyle w:val="TableRowCentered"/>
              <w:ind w:left="0" w:right="0"/>
              <w:jc w:val="left"/>
              <w:rPr>
                <w:szCs w:val="24"/>
              </w:rPr>
            </w:pPr>
            <w:r w:rsidRPr="59801B34">
              <w:rPr>
                <w:szCs w:val="24"/>
              </w:rPr>
              <w:t xml:space="preserve">CPD and Growth Plans indicate that </w:t>
            </w:r>
            <w:r w:rsidR="018B12D5" w:rsidRPr="59801B34">
              <w:rPr>
                <w:szCs w:val="24"/>
              </w:rPr>
              <w:t xml:space="preserve">practice and expertise has improved. </w:t>
            </w:r>
          </w:p>
        </w:tc>
      </w:tr>
      <w:tr w:rsidR="00E66558" w14:paraId="2A7D5509"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92280" w14:textId="1E454140" w:rsidR="00E66558" w:rsidRDefault="3C323DD8" w:rsidP="59801B34">
            <w:pPr>
              <w:pStyle w:val="TableRow"/>
              <w:spacing w:line="259" w:lineRule="auto"/>
              <w:ind w:left="0" w:right="0"/>
            </w:pPr>
            <w:r w:rsidRPr="59801B34">
              <w:t>To have systems in place that allow</w:t>
            </w:r>
            <w:r w:rsidR="1D4DD014" w:rsidRPr="59801B34">
              <w:t xml:space="preserve"> for the</w:t>
            </w:r>
            <w:r w:rsidRPr="59801B34">
              <w:t xml:space="preserve"> d</w:t>
            </w:r>
            <w:r w:rsidR="55255768" w:rsidRPr="59801B34">
              <w:t xml:space="preserve">iagnostic testing of </w:t>
            </w:r>
            <w:r w:rsidR="3385BE1C" w:rsidRPr="59801B34">
              <w:t xml:space="preserve">all </w:t>
            </w:r>
            <w:r w:rsidR="55255768" w:rsidRPr="59801B34">
              <w:t xml:space="preserve">Year 7 students to ensure the early identification </w:t>
            </w:r>
            <w:r w:rsidR="0C2B580C" w:rsidRPr="59801B34">
              <w:t xml:space="preserve">of students requiring literacy support. </w:t>
            </w:r>
          </w:p>
          <w:p w14:paraId="2A7D5507" w14:textId="64CB6FBF" w:rsidR="00E66558" w:rsidRDefault="0EA34D7D" w:rsidP="59801B34">
            <w:pPr>
              <w:pStyle w:val="TableRow"/>
              <w:spacing w:line="259" w:lineRule="auto"/>
              <w:ind w:left="0" w:right="0"/>
            </w:pPr>
            <w:r w:rsidRPr="59801B34">
              <w:t>To provide a</w:t>
            </w:r>
            <w:r w:rsidR="1BE09570" w:rsidRPr="59801B34">
              <w:t xml:space="preserve">ll struggling readers </w:t>
            </w:r>
            <w:r w:rsidR="50EFDFA6" w:rsidRPr="59801B34">
              <w:t>with</w:t>
            </w:r>
            <w:r w:rsidR="1BE09570" w:rsidRPr="59801B34">
              <w:t xml:space="preserve"> specific, tailored reading </w:t>
            </w:r>
            <w:r w:rsidR="34D91EEF" w:rsidRPr="59801B34">
              <w:t>intervention</w:t>
            </w:r>
            <w:r w:rsidR="1E7309F6" w:rsidRPr="59801B34">
              <w:t>s</w:t>
            </w:r>
            <w:r w:rsidR="34D91EEF" w:rsidRPr="59801B34">
              <w:t xml:space="preserve"> </w:t>
            </w:r>
            <w:r w:rsidR="5DB6B73A" w:rsidRPr="59801B34">
              <w:t>t</w:t>
            </w:r>
            <w:r w:rsidR="4FBEECE8" w:rsidRPr="59801B34">
              <w:t>hat</w:t>
            </w:r>
            <w:r w:rsidR="38C69DCF" w:rsidRPr="59801B34">
              <w:t xml:space="preserve"> enable</w:t>
            </w:r>
            <w:r w:rsidR="29119532" w:rsidRPr="59801B34">
              <w:t>s</w:t>
            </w:r>
            <w:r w:rsidR="38C69DCF" w:rsidRPr="59801B34">
              <w:t xml:space="preserve"> them</w:t>
            </w:r>
            <w:r w:rsidR="5DB6B73A" w:rsidRPr="59801B34">
              <w:t xml:space="preserve"> to become confident and competent readers</w:t>
            </w:r>
            <w:r w:rsidR="6318160F" w:rsidRPr="59801B34">
              <w:t xml:space="preserve"> who are reading at or above national benchmark by the end of KS3.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4EB015" w14:textId="219E0BA6" w:rsidR="00E66558" w:rsidRDefault="4C75ACDB" w:rsidP="59801B34">
            <w:pPr>
              <w:pStyle w:val="TableRowCentered"/>
              <w:ind w:left="0" w:right="0"/>
              <w:jc w:val="left"/>
              <w:rPr>
                <w:szCs w:val="24"/>
              </w:rPr>
            </w:pPr>
            <w:r w:rsidRPr="59801B34">
              <w:rPr>
                <w:szCs w:val="24"/>
              </w:rPr>
              <w:t xml:space="preserve">All students identified as struggling readers in Year 7 diagnostic testing are reading </w:t>
            </w:r>
            <w:r w:rsidR="1B709A24" w:rsidRPr="59801B34">
              <w:rPr>
                <w:szCs w:val="24"/>
              </w:rPr>
              <w:t xml:space="preserve">at or above national benchmark by the end of KS3. </w:t>
            </w:r>
          </w:p>
          <w:p w14:paraId="75C1D0B8" w14:textId="0853441C" w:rsidR="00E66558" w:rsidRDefault="1B709A24" w:rsidP="59801B34">
            <w:pPr>
              <w:pStyle w:val="TableRowCentered"/>
              <w:ind w:left="0" w:right="0"/>
              <w:jc w:val="left"/>
              <w:rPr>
                <w:szCs w:val="24"/>
              </w:rPr>
            </w:pPr>
            <w:r w:rsidRPr="59801B34">
              <w:rPr>
                <w:szCs w:val="24"/>
              </w:rPr>
              <w:t>Termly testing data to show reading age improvements across terms and years</w:t>
            </w:r>
          </w:p>
          <w:p w14:paraId="2A7D5508" w14:textId="1D6C333B" w:rsidR="00E66558" w:rsidRDefault="29C0EEDF" w:rsidP="59801B34">
            <w:pPr>
              <w:pStyle w:val="TableRowCentered"/>
              <w:spacing w:line="259" w:lineRule="auto"/>
              <w:ind w:left="0" w:right="0"/>
              <w:jc w:val="left"/>
              <w:rPr>
                <w:szCs w:val="24"/>
              </w:rPr>
            </w:pPr>
            <w:r w:rsidRPr="59801B34">
              <w:rPr>
                <w:szCs w:val="24"/>
              </w:rPr>
              <w:t>Quality assurance of reading interventions indicates that intervention practices are delivered with fidelity</w:t>
            </w:r>
            <w:r w:rsidR="2EA6782B" w:rsidRPr="59801B34">
              <w:rPr>
                <w:szCs w:val="24"/>
              </w:rPr>
              <w:t xml:space="preserve"> and are supporting students to make rapid progress in their reading. </w:t>
            </w:r>
          </w:p>
        </w:tc>
      </w:tr>
      <w:tr w:rsidR="00E66558" w14:paraId="2A7D550F"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0B1C756" w:rsidR="00E66558" w:rsidRDefault="1106FA2D" w:rsidP="59801B34">
            <w:pPr>
              <w:pStyle w:val="TableRow"/>
              <w:ind w:left="0" w:right="0"/>
            </w:pPr>
            <w:r w:rsidRPr="59801B34">
              <w:t xml:space="preserve">To achieve and sustain improved </w:t>
            </w:r>
            <w:r w:rsidRPr="59801B34">
              <w:rPr>
                <w:b/>
                <w:bCs/>
              </w:rPr>
              <w:t>attendance</w:t>
            </w:r>
            <w:r w:rsidRPr="59801B34">
              <w:t xml:space="preserve"> for all students, particularly our disadvantaged students.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309E4" w14:textId="273048AC" w:rsidR="00E66558" w:rsidRDefault="68482EDD" w:rsidP="59801B34">
            <w:pPr>
              <w:shd w:val="clear" w:color="auto" w:fill="FFFFFF" w:themeFill="background1"/>
              <w:spacing w:before="60" w:after="60"/>
              <w:rPr>
                <w:rFonts w:eastAsia="Arial" w:cs="Arial"/>
                <w:color w:val="000000" w:themeColor="text1"/>
              </w:rPr>
            </w:pPr>
            <w:r w:rsidRPr="59801B34">
              <w:rPr>
                <w:rFonts w:eastAsia="Arial" w:cs="Arial"/>
                <w:color w:val="000000" w:themeColor="text1"/>
              </w:rPr>
              <w:t>Sustained high attendance by 2026/27 demonstrated by:</w:t>
            </w:r>
          </w:p>
          <w:p w14:paraId="57B283BF" w14:textId="08D7F4F9" w:rsidR="00E66558" w:rsidRDefault="68482EDD" w:rsidP="59801B34">
            <w:pPr>
              <w:pStyle w:val="ListParagraph"/>
              <w:shd w:val="clear" w:color="auto" w:fill="FFFFFF" w:themeFill="background1"/>
              <w:spacing w:before="60" w:after="60"/>
              <w:rPr>
                <w:rFonts w:eastAsia="Arial" w:cs="Arial"/>
                <w:color w:val="000000" w:themeColor="text1"/>
              </w:rPr>
            </w:pPr>
            <w:r w:rsidRPr="59801B34">
              <w:rPr>
                <w:rFonts w:eastAsia="Arial" w:cs="Arial"/>
                <w:color w:val="000000" w:themeColor="text1"/>
              </w:rPr>
              <w:t xml:space="preserve">the overall unauthorised absence rate for all pupils being no more than national average and the attendance gap between disadvantaged pupils and their non-disadvantaged peers being </w:t>
            </w:r>
            <w:r w:rsidRPr="59801B34">
              <w:rPr>
                <w:rFonts w:eastAsia="Arial" w:cs="Arial"/>
                <w:color w:val="000000" w:themeColor="text1"/>
              </w:rPr>
              <w:lastRenderedPageBreak/>
              <w:t>reduced to at least pre-2019 levels</w:t>
            </w:r>
            <w:r w:rsidR="5793942F" w:rsidRPr="59801B34">
              <w:rPr>
                <w:rFonts w:eastAsia="Arial" w:cs="Arial"/>
                <w:color w:val="000000" w:themeColor="text1"/>
              </w:rPr>
              <w:t>.</w:t>
            </w:r>
          </w:p>
          <w:p w14:paraId="0BC343EE" w14:textId="10BF7874" w:rsidR="00E66558" w:rsidRDefault="36FD93F5" w:rsidP="59801B34">
            <w:pPr>
              <w:pStyle w:val="ListParagraph"/>
              <w:shd w:val="clear" w:color="auto" w:fill="FFFFFF" w:themeFill="background1"/>
              <w:spacing w:before="60" w:after="60"/>
              <w:rPr>
                <w:rFonts w:eastAsia="Arial" w:cs="Arial"/>
              </w:rPr>
            </w:pPr>
            <w:r w:rsidRPr="59801B34">
              <w:rPr>
                <w:rFonts w:eastAsia="Arial" w:cs="Arial"/>
                <w:color w:val="000000" w:themeColor="text1"/>
              </w:rPr>
              <w:t>the percentage of all pupils who are persistently absent being in line or below national average and the figure among disadvantaged pupils being no lower than their peers.</w:t>
            </w:r>
          </w:p>
          <w:p w14:paraId="2A7D550E" w14:textId="38166F74" w:rsidR="00E66558" w:rsidRDefault="00E66558" w:rsidP="00C31636">
            <w:pPr>
              <w:pStyle w:val="TableRowCentered"/>
              <w:ind w:left="0" w:right="0"/>
              <w:jc w:val="left"/>
              <w:rPr>
                <w:sz w:val="22"/>
                <w:szCs w:val="22"/>
              </w:rPr>
            </w:pPr>
          </w:p>
        </w:tc>
      </w:tr>
      <w:tr w:rsidR="59801B34" w14:paraId="12B75079" w14:textId="77777777" w:rsidTr="59801B34">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83B00" w14:textId="5309DDB4" w:rsidR="5F864F4C" w:rsidRDefault="5F864F4C" w:rsidP="59801B34">
            <w:pPr>
              <w:pStyle w:val="TableRow"/>
            </w:pPr>
            <w:r w:rsidRPr="59801B34">
              <w:lastRenderedPageBreak/>
              <w:t xml:space="preserve">We want to </w:t>
            </w:r>
            <w:r w:rsidRPr="59801B34">
              <w:rPr>
                <w:b/>
                <w:bCs/>
              </w:rPr>
              <w:t xml:space="preserve">remove the Cultural Social, Emotional and Educational barriers </w:t>
            </w:r>
            <w:r w:rsidRPr="59801B34">
              <w:t>that PP students can face. We want to do this i</w:t>
            </w:r>
            <w:r w:rsidR="0581B4E1" w:rsidRPr="59801B34">
              <w:t xml:space="preserve">n a systematic way that offers early intervention.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E5268" w14:textId="0A606785" w:rsidR="3C827A9C" w:rsidRDefault="3C827A9C" w:rsidP="59801B34">
            <w:pPr>
              <w:rPr>
                <w:rFonts w:eastAsia="Arial" w:cs="Arial"/>
                <w:color w:val="000000" w:themeColor="text1"/>
              </w:rPr>
            </w:pPr>
            <w:r w:rsidRPr="59801B34">
              <w:rPr>
                <w:rFonts w:eastAsia="Arial" w:cs="Arial"/>
                <w:color w:val="000000" w:themeColor="text1"/>
              </w:rPr>
              <w:t>The EEF cite that involvement in arts-based learning can boost achievement in non-arts subjects, so work around the</w:t>
            </w:r>
            <w:r w:rsidR="2671F458" w:rsidRPr="59801B34">
              <w:rPr>
                <w:rFonts w:eastAsia="Arial" w:cs="Arial"/>
                <w:color w:val="000000" w:themeColor="text1"/>
              </w:rPr>
              <w:t xml:space="preserve"> extra-curricular provision at Bedford will continue with particular emphasis on engaging PP students.</w:t>
            </w:r>
            <w:r w:rsidRPr="59801B34">
              <w:rPr>
                <w:rFonts w:eastAsia="Arial" w:cs="Arial"/>
                <w:color w:val="000000" w:themeColor="text1"/>
              </w:rPr>
              <w:t xml:space="preserve"> </w:t>
            </w:r>
            <w:r w:rsidR="65F65F70" w:rsidRPr="59801B34">
              <w:rPr>
                <w:rFonts w:eastAsia="Arial" w:cs="Arial"/>
                <w:color w:val="000000" w:themeColor="text1"/>
              </w:rPr>
              <w:t xml:space="preserve">40% of all students </w:t>
            </w:r>
            <w:r w:rsidR="7B9A46FF" w:rsidRPr="59801B34">
              <w:rPr>
                <w:rFonts w:eastAsia="Arial" w:cs="Arial"/>
                <w:color w:val="000000" w:themeColor="text1"/>
              </w:rPr>
              <w:t>involved in arts-based activities to be PP.</w:t>
            </w:r>
          </w:p>
          <w:p w14:paraId="16D207C8" w14:textId="2D9067E9" w:rsidR="3AE452C0" w:rsidRDefault="3AE452C0" w:rsidP="59801B34">
            <w:pPr>
              <w:rPr>
                <w:rFonts w:eastAsia="Arial" w:cs="Arial"/>
                <w:color w:val="000000" w:themeColor="text1"/>
              </w:rPr>
            </w:pPr>
            <w:r w:rsidRPr="59801B34">
              <w:rPr>
                <w:rFonts w:eastAsia="Arial" w:cs="Arial"/>
                <w:color w:val="000000" w:themeColor="text1"/>
              </w:rPr>
              <w:t>Cultural opportunities will be offered a</w:t>
            </w:r>
            <w:r w:rsidR="6246615B" w:rsidRPr="59801B34">
              <w:rPr>
                <w:rFonts w:eastAsia="Arial" w:cs="Arial"/>
                <w:color w:val="000000" w:themeColor="text1"/>
              </w:rPr>
              <w:t>t a lower</w:t>
            </w:r>
            <w:r w:rsidRPr="59801B34">
              <w:rPr>
                <w:rFonts w:eastAsia="Arial" w:cs="Arial"/>
                <w:color w:val="000000" w:themeColor="text1"/>
              </w:rPr>
              <w:t xml:space="preserve"> cost to PP students </w:t>
            </w:r>
            <w:r w:rsidR="53CC380C" w:rsidRPr="59801B34">
              <w:rPr>
                <w:rFonts w:eastAsia="Arial" w:cs="Arial"/>
                <w:color w:val="000000" w:themeColor="text1"/>
              </w:rPr>
              <w:t xml:space="preserve">who score red on parent profiling </w:t>
            </w:r>
            <w:r w:rsidRPr="59801B34">
              <w:rPr>
                <w:rFonts w:eastAsia="Arial" w:cs="Arial"/>
                <w:color w:val="000000" w:themeColor="text1"/>
              </w:rPr>
              <w:t>where possible.</w:t>
            </w:r>
          </w:p>
          <w:p w14:paraId="2BD18232" w14:textId="52BB493C" w:rsidR="5E55E690" w:rsidRDefault="5E55E690" w:rsidP="59801B34">
            <w:pPr>
              <w:rPr>
                <w:rFonts w:eastAsia="Arial" w:cs="Arial"/>
                <w:color w:val="000000" w:themeColor="text1"/>
              </w:rPr>
            </w:pPr>
            <w:r w:rsidRPr="59801B34">
              <w:rPr>
                <w:rFonts w:eastAsia="Arial" w:cs="Arial"/>
                <w:color w:val="000000" w:themeColor="text1"/>
              </w:rPr>
              <w:t>Parent profiling to work to engage hard to reach parents to attend school events and in particular</w:t>
            </w:r>
            <w:r w:rsidR="1A9B6394" w:rsidRPr="59801B34">
              <w:rPr>
                <w:rFonts w:eastAsia="Arial" w:cs="Arial"/>
                <w:color w:val="000000" w:themeColor="text1"/>
              </w:rPr>
              <w:t xml:space="preserve"> parents evening.</w:t>
            </w:r>
            <w:r w:rsidR="52D179AD" w:rsidRPr="59801B34">
              <w:rPr>
                <w:rFonts w:eastAsia="Arial" w:cs="Arial"/>
                <w:color w:val="000000" w:themeColor="text1"/>
              </w:rPr>
              <w:t xml:space="preserve">  75% attendance to parents evening to be the target.</w:t>
            </w:r>
          </w:p>
          <w:p w14:paraId="7F902ECD" w14:textId="558253F5" w:rsidR="1A9B6394" w:rsidRDefault="1A9B6394" w:rsidP="59801B34">
            <w:pPr>
              <w:rPr>
                <w:rFonts w:eastAsia="Arial" w:cs="Arial"/>
                <w:color w:val="000000" w:themeColor="text1"/>
              </w:rPr>
            </w:pPr>
            <w:r w:rsidRPr="59801B34">
              <w:rPr>
                <w:rFonts w:eastAsia="Arial" w:cs="Arial"/>
                <w:color w:val="000000" w:themeColor="text1"/>
              </w:rPr>
              <w:t>The Triage room will engage students with disadvantaged levels of engagement or who find emotional regulation difficult at times</w:t>
            </w:r>
            <w:r w:rsidR="2F762523" w:rsidRPr="59801B34">
              <w:rPr>
                <w:rFonts w:eastAsia="Arial" w:cs="Arial"/>
                <w:color w:val="000000" w:themeColor="text1"/>
              </w:rPr>
              <w:t xml:space="preserve">, with numbers of PP students using the room </w:t>
            </w:r>
            <w:r w:rsidR="4F4475A8" w:rsidRPr="59801B34">
              <w:rPr>
                <w:rFonts w:eastAsia="Arial" w:cs="Arial"/>
                <w:color w:val="000000" w:themeColor="text1"/>
              </w:rPr>
              <w:t>reducing</w:t>
            </w:r>
            <w:r w:rsidR="2F762523" w:rsidRPr="59801B34">
              <w:rPr>
                <w:rFonts w:eastAsia="Arial" w:cs="Arial"/>
                <w:color w:val="000000" w:themeColor="text1"/>
              </w:rPr>
              <w:t xml:space="preserve"> over time</w:t>
            </w:r>
            <w:r w:rsidRPr="59801B34">
              <w:rPr>
                <w:rFonts w:eastAsia="Arial" w:cs="Arial"/>
                <w:color w:val="000000" w:themeColor="text1"/>
              </w:rPr>
              <w:t>.</w:t>
            </w:r>
          </w:p>
          <w:p w14:paraId="1DAB0932" w14:textId="6FEC466E" w:rsidR="17A1AB9B" w:rsidRDefault="17A1AB9B" w:rsidP="59801B34">
            <w:pPr>
              <w:rPr>
                <w:rFonts w:eastAsia="Arial" w:cs="Arial"/>
                <w:color w:val="000000" w:themeColor="text1"/>
              </w:rPr>
            </w:pPr>
            <w:r w:rsidRPr="59801B34">
              <w:rPr>
                <w:rFonts w:eastAsia="Arial" w:cs="Arial"/>
                <w:color w:val="000000" w:themeColor="text1"/>
              </w:rPr>
              <w:t xml:space="preserve">The Pastoral in Focus meetings </w:t>
            </w:r>
            <w:r w:rsidR="228B0722" w:rsidRPr="59801B34">
              <w:rPr>
                <w:rFonts w:eastAsia="Arial" w:cs="Arial"/>
                <w:color w:val="000000" w:themeColor="text1"/>
              </w:rPr>
              <w:t xml:space="preserve">pinpoint the students who need extra support </w:t>
            </w:r>
            <w:r w:rsidRPr="59801B34">
              <w:rPr>
                <w:rFonts w:eastAsia="Arial" w:cs="Arial"/>
                <w:color w:val="000000" w:themeColor="text1"/>
              </w:rPr>
              <w:t>every fortnight with a focus on PP students every 8 weeks</w:t>
            </w:r>
            <w:r w:rsidR="798448B5" w:rsidRPr="59801B34">
              <w:rPr>
                <w:rFonts w:eastAsia="Arial" w:cs="Arial"/>
                <w:color w:val="000000" w:themeColor="text1"/>
              </w:rPr>
              <w:t>.  These sessions also act as extra bespoke training for pastoral colleagues.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9486" w:type="dxa"/>
        <w:tblCellMar>
          <w:left w:w="10" w:type="dxa"/>
          <w:right w:w="10" w:type="dxa"/>
        </w:tblCellMar>
        <w:tblLook w:val="04A0" w:firstRow="1" w:lastRow="0" w:firstColumn="1" w:lastColumn="0" w:noHBand="0" w:noVBand="1"/>
      </w:tblPr>
      <w:tblGrid>
        <w:gridCol w:w="2058"/>
        <w:gridCol w:w="6411"/>
        <w:gridCol w:w="1017"/>
      </w:tblGrid>
      <w:tr w:rsidR="00E66558" w14:paraId="2A7D5519" w14:textId="77777777" w:rsidTr="59801B34">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27B34F6A" w:rsidP="59801B34">
            <w:pPr>
              <w:pStyle w:val="TableHeader"/>
              <w:ind w:left="0" w:right="0"/>
              <w:jc w:val="left"/>
              <w:rPr>
                <w:sz w:val="16"/>
                <w:szCs w:val="16"/>
              </w:rPr>
            </w:pPr>
            <w:r w:rsidRPr="59801B34">
              <w:rPr>
                <w:sz w:val="16"/>
                <w:szCs w:val="16"/>
              </w:rPr>
              <w:t>Challenge number(s) addressed</w:t>
            </w:r>
          </w:p>
        </w:tc>
      </w:tr>
      <w:tr w:rsidR="00E66558" w14:paraId="2A7D5521" w14:textId="77777777" w:rsidTr="59801B34">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978B0" w14:textId="3496769B" w:rsidR="00E66558" w:rsidRDefault="00C43FA1" w:rsidP="59801B34">
            <w:pPr>
              <w:shd w:val="clear" w:color="auto" w:fill="FFFFFF" w:themeFill="background1"/>
              <w:spacing w:after="160" w:line="257" w:lineRule="auto"/>
              <w:rPr>
                <w:rFonts w:eastAsia="Arial" w:cs="Arial"/>
                <w:color w:val="auto"/>
              </w:rPr>
            </w:pPr>
            <w:proofErr w:type="gramStart"/>
            <w:r w:rsidRPr="59801B34">
              <w:t xml:space="preserve">Implementing </w:t>
            </w:r>
            <w:r w:rsidR="4060B53F" w:rsidRPr="59801B34">
              <w:t xml:space="preserve"> Bedford</w:t>
            </w:r>
            <w:proofErr w:type="gramEnd"/>
            <w:r w:rsidR="4060B53F" w:rsidRPr="59801B34">
              <w:t xml:space="preserve"> High School’s </w:t>
            </w:r>
            <w:r w:rsidR="4060B53F" w:rsidRPr="59801B34">
              <w:rPr>
                <w:b/>
                <w:bCs/>
              </w:rPr>
              <w:t>Professional Growth CPD Programme.</w:t>
            </w:r>
            <w:r w:rsidR="4CD54592" w:rsidRPr="59801B34">
              <w:rPr>
                <w:b/>
                <w:bCs/>
              </w:rPr>
              <w:t xml:space="preserve"> </w:t>
            </w:r>
            <w:r w:rsidR="4CD54592" w:rsidRPr="59801B34">
              <w:rPr>
                <w:rFonts w:eastAsia="Arial" w:cs="Arial"/>
                <w:color w:val="auto"/>
              </w:rPr>
              <w:t>The new Professional Growth programme</w:t>
            </w:r>
            <w:r w:rsidR="57D49A88" w:rsidRPr="59801B34">
              <w:rPr>
                <w:rFonts w:eastAsia="Arial" w:cs="Arial"/>
                <w:color w:val="auto"/>
              </w:rPr>
              <w:t xml:space="preserve"> is designed to meet the needs of staff, students and school priorities. We w</w:t>
            </w:r>
            <w:r w:rsidR="3D194AB7" w:rsidRPr="59801B34">
              <w:rPr>
                <w:rFonts w:eastAsia="Arial" w:cs="Arial"/>
                <w:color w:val="auto"/>
              </w:rPr>
              <w:t>ill</w:t>
            </w:r>
            <w:r w:rsidR="57D49A88" w:rsidRPr="59801B34">
              <w:rPr>
                <w:rFonts w:eastAsia="Arial" w:cs="Arial"/>
                <w:color w:val="auto"/>
              </w:rPr>
              <w:t xml:space="preserve"> grow the knowledge and skills of our staff so that they can maximise their own potential whilst unlocking our student’s potential.</w:t>
            </w:r>
            <w:r w:rsidR="69EAEE5E" w:rsidRPr="59801B34">
              <w:rPr>
                <w:rFonts w:eastAsia="Arial" w:cs="Arial"/>
                <w:color w:val="auto"/>
              </w:rPr>
              <w:t xml:space="preserve"> As part of this, we will ensure that PP (under-resourced) CPD is in place for all teachers. The CPD will focus on </w:t>
            </w:r>
            <w:r w:rsidR="220C98B4" w:rsidRPr="59801B34">
              <w:rPr>
                <w:rFonts w:eastAsia="Arial" w:cs="Arial"/>
                <w:color w:val="auto"/>
              </w:rPr>
              <w:t xml:space="preserve">the </w:t>
            </w:r>
            <w:r w:rsidR="69EAEE5E" w:rsidRPr="59801B34">
              <w:rPr>
                <w:rFonts w:eastAsia="Arial" w:cs="Arial"/>
                <w:color w:val="auto"/>
              </w:rPr>
              <w:t>following</w:t>
            </w:r>
            <w:r w:rsidR="51E810B5" w:rsidRPr="59801B34">
              <w:rPr>
                <w:rFonts w:eastAsia="Arial" w:cs="Arial"/>
                <w:color w:val="auto"/>
              </w:rPr>
              <w:t>:</w:t>
            </w:r>
          </w:p>
          <w:p w14:paraId="1FB8AE15" w14:textId="7D57EABD" w:rsidR="00E66558" w:rsidRDefault="59801B34" w:rsidP="59801B34">
            <w:pPr>
              <w:shd w:val="clear" w:color="auto" w:fill="FFFFFF" w:themeFill="background1"/>
              <w:spacing w:after="160" w:line="257" w:lineRule="auto"/>
              <w:rPr>
                <w:rFonts w:eastAsia="Arial" w:cs="Arial"/>
                <w:color w:val="auto"/>
              </w:rPr>
            </w:pPr>
            <w:r w:rsidRPr="59801B34">
              <w:rPr>
                <w:rFonts w:eastAsia="Arial" w:cs="Arial"/>
                <w:color w:val="auto"/>
              </w:rPr>
              <w:t>1.</w:t>
            </w:r>
            <w:r w:rsidR="66CAC961" w:rsidRPr="59801B34">
              <w:rPr>
                <w:rFonts w:eastAsia="Arial" w:cs="Arial"/>
                <w:color w:val="auto"/>
              </w:rPr>
              <w:t>Greater awareness of who our PP (UR) students are.</w:t>
            </w:r>
            <w:r w:rsidR="68D954BE" w:rsidRPr="59801B34">
              <w:rPr>
                <w:rFonts w:eastAsia="Arial" w:cs="Arial"/>
                <w:color w:val="auto"/>
              </w:rPr>
              <w:t xml:space="preserve"> </w:t>
            </w:r>
            <w:r w:rsidR="68D954BE" w:rsidRPr="59801B34">
              <w:rPr>
                <w:rFonts w:eastAsia="Arial" w:cs="Arial"/>
                <w:color w:val="auto"/>
              </w:rPr>
              <w:lastRenderedPageBreak/>
              <w:t>Prioritising the PP students, ‘Our first a</w:t>
            </w:r>
            <w:r w:rsidR="6E1BD0BB" w:rsidRPr="59801B34">
              <w:rPr>
                <w:rFonts w:eastAsia="Arial" w:cs="Arial"/>
                <w:color w:val="auto"/>
              </w:rPr>
              <w:t xml:space="preserve">nd second </w:t>
            </w:r>
            <w:proofErr w:type="gramStart"/>
            <w:r w:rsidR="6E1BD0BB" w:rsidRPr="59801B34">
              <w:rPr>
                <w:rFonts w:eastAsia="Arial" w:cs="Arial"/>
                <w:color w:val="auto"/>
              </w:rPr>
              <w:t>thought;.</w:t>
            </w:r>
            <w:proofErr w:type="gramEnd"/>
            <w:r w:rsidR="6E1BD0BB" w:rsidRPr="59801B34">
              <w:rPr>
                <w:rFonts w:eastAsia="Arial" w:cs="Arial"/>
                <w:color w:val="auto"/>
              </w:rPr>
              <w:t xml:space="preserve"> </w:t>
            </w:r>
          </w:p>
          <w:p w14:paraId="264A358D" w14:textId="7854F4E4" w:rsidR="00E66558" w:rsidRDefault="66CAC961" w:rsidP="59801B34">
            <w:pPr>
              <w:shd w:val="clear" w:color="auto" w:fill="FFFFFF" w:themeFill="background1"/>
              <w:spacing w:after="160" w:line="257" w:lineRule="auto"/>
              <w:rPr>
                <w:rFonts w:eastAsia="Arial" w:cs="Arial"/>
                <w:color w:val="auto"/>
              </w:rPr>
            </w:pPr>
            <w:r w:rsidRPr="59801B34">
              <w:rPr>
                <w:rFonts w:eastAsia="Arial" w:cs="Arial"/>
                <w:color w:val="auto"/>
              </w:rPr>
              <w:t xml:space="preserve">2. </w:t>
            </w:r>
            <w:r w:rsidR="51E810B5" w:rsidRPr="59801B34">
              <w:rPr>
                <w:rFonts w:eastAsia="Arial" w:cs="Arial"/>
                <w:color w:val="auto"/>
              </w:rPr>
              <w:t>Building confidence and s</w:t>
            </w:r>
            <w:r w:rsidR="50B6FD27" w:rsidRPr="59801B34">
              <w:rPr>
                <w:rFonts w:eastAsia="Arial" w:cs="Arial"/>
                <w:color w:val="auto"/>
              </w:rPr>
              <w:t>uccess rate</w:t>
            </w:r>
          </w:p>
          <w:p w14:paraId="4CF443CB" w14:textId="6CC217E2" w:rsidR="00E66558" w:rsidRDefault="64FB3F1C" w:rsidP="59801B34">
            <w:pPr>
              <w:shd w:val="clear" w:color="auto" w:fill="FFFFFF" w:themeFill="background1"/>
              <w:spacing w:after="160" w:line="257" w:lineRule="auto"/>
              <w:rPr>
                <w:rFonts w:eastAsia="Arial" w:cs="Arial"/>
                <w:color w:val="auto"/>
              </w:rPr>
            </w:pPr>
            <w:r w:rsidRPr="59801B34">
              <w:rPr>
                <w:rFonts w:eastAsia="Arial" w:cs="Arial"/>
                <w:color w:val="auto"/>
              </w:rPr>
              <w:t>3.</w:t>
            </w:r>
            <w:r w:rsidR="50B6FD27" w:rsidRPr="59801B34">
              <w:rPr>
                <w:rFonts w:eastAsia="Arial" w:cs="Arial"/>
                <w:color w:val="auto"/>
              </w:rPr>
              <w:t xml:space="preserve"> </w:t>
            </w:r>
            <w:r w:rsidR="6A062B4F" w:rsidRPr="59801B34">
              <w:rPr>
                <w:rFonts w:eastAsia="Arial" w:cs="Arial"/>
                <w:color w:val="auto"/>
              </w:rPr>
              <w:t xml:space="preserve">Teachers </w:t>
            </w:r>
            <w:r w:rsidR="0420DF97" w:rsidRPr="59801B34">
              <w:rPr>
                <w:rFonts w:eastAsia="Arial" w:cs="Arial"/>
                <w:color w:val="auto"/>
              </w:rPr>
              <w:t>reaching out and connecting with parents.</w:t>
            </w:r>
          </w:p>
          <w:p w14:paraId="737285F4" w14:textId="63784A4D" w:rsidR="00E66558" w:rsidRDefault="7F6AB040" w:rsidP="59801B34">
            <w:pPr>
              <w:shd w:val="clear" w:color="auto" w:fill="FFFFFF" w:themeFill="background1"/>
              <w:spacing w:after="160" w:line="257" w:lineRule="auto"/>
              <w:rPr>
                <w:rFonts w:eastAsia="Arial" w:cs="Arial"/>
                <w:color w:val="auto"/>
              </w:rPr>
            </w:pPr>
            <w:r w:rsidRPr="59801B34">
              <w:rPr>
                <w:rFonts w:eastAsia="Arial" w:cs="Arial"/>
                <w:color w:val="auto"/>
              </w:rPr>
              <w:t>4</w:t>
            </w:r>
            <w:r w:rsidR="0420DF97" w:rsidRPr="59801B34">
              <w:rPr>
                <w:rFonts w:eastAsia="Arial" w:cs="Arial"/>
                <w:color w:val="auto"/>
              </w:rPr>
              <w:t>.</w:t>
            </w:r>
            <w:r w:rsidR="081661E3" w:rsidRPr="59801B34">
              <w:rPr>
                <w:rFonts w:eastAsia="Arial" w:cs="Arial"/>
                <w:color w:val="auto"/>
              </w:rPr>
              <w:t xml:space="preserve">Developing an Equity mindset: </w:t>
            </w:r>
            <w:r w:rsidR="0420DF97" w:rsidRPr="59801B34">
              <w:rPr>
                <w:rFonts w:eastAsia="Arial" w:cs="Arial"/>
                <w:color w:val="auto"/>
              </w:rPr>
              <w:t xml:space="preserve"> increasing awareness of Under-resourced student’s barriers and our unconscious bias.</w:t>
            </w:r>
            <w:r w:rsidR="1DB47E3A" w:rsidRPr="59801B34">
              <w:rPr>
                <w:rFonts w:eastAsia="Arial" w:cs="Arial"/>
                <w:color w:val="auto"/>
              </w:rPr>
              <w:t xml:space="preserve"> </w:t>
            </w:r>
            <w:r w:rsidR="048D4373" w:rsidRPr="59801B34">
              <w:rPr>
                <w:rFonts w:eastAsia="Arial" w:cs="Arial"/>
                <w:color w:val="auto"/>
              </w:rPr>
              <w:t xml:space="preserve"> </w:t>
            </w:r>
          </w:p>
          <w:p w14:paraId="6F48EA8E" w14:textId="4347AC15" w:rsidR="00E66558" w:rsidRDefault="0420DF97" w:rsidP="59801B34">
            <w:pPr>
              <w:shd w:val="clear" w:color="auto" w:fill="FFFFFF" w:themeFill="background1"/>
              <w:spacing w:after="160" w:line="257" w:lineRule="auto"/>
              <w:rPr>
                <w:rFonts w:eastAsia="Arial" w:cs="Arial"/>
                <w:color w:val="auto"/>
              </w:rPr>
            </w:pPr>
            <w:r w:rsidRPr="59801B34">
              <w:rPr>
                <w:rFonts w:eastAsia="Arial" w:cs="Arial"/>
                <w:color w:val="auto"/>
              </w:rPr>
              <w:t>4.getting more out of HW</w:t>
            </w:r>
            <w:r w:rsidR="789FAB14" w:rsidRPr="59801B34">
              <w:rPr>
                <w:rFonts w:eastAsia="Arial" w:cs="Arial"/>
                <w:color w:val="auto"/>
              </w:rPr>
              <w:t xml:space="preserve"> and breaking down their barriers. </w:t>
            </w:r>
          </w:p>
          <w:p w14:paraId="25ED7776" w14:textId="26861E8D" w:rsidR="00E66558" w:rsidRDefault="00E66558" w:rsidP="59801B34">
            <w:pPr>
              <w:shd w:val="clear" w:color="auto" w:fill="FFFFFF" w:themeFill="background1"/>
              <w:spacing w:after="160" w:line="257" w:lineRule="auto"/>
              <w:rPr>
                <w:rFonts w:eastAsia="Arial" w:cs="Arial"/>
                <w:color w:val="auto"/>
              </w:rPr>
            </w:pPr>
          </w:p>
          <w:p w14:paraId="363DEB3A" w14:textId="6285A267" w:rsidR="00E66558" w:rsidRDefault="4060B53F" w:rsidP="59801B34">
            <w:pPr>
              <w:pStyle w:val="TableRow"/>
              <w:ind w:left="0" w:right="0"/>
              <w:rPr>
                <w:i/>
                <w:iCs/>
                <w:sz w:val="22"/>
                <w:szCs w:val="22"/>
              </w:rPr>
            </w:pPr>
            <w:r w:rsidRPr="59801B34">
              <w:rPr>
                <w:i/>
                <w:iCs/>
                <w:sz w:val="22"/>
                <w:szCs w:val="22"/>
              </w:rPr>
              <w:t xml:space="preserve"> </w:t>
            </w:r>
          </w:p>
          <w:p w14:paraId="2361BB33" w14:textId="57E2BFF5" w:rsidR="00E66558" w:rsidRDefault="00E66558" w:rsidP="59801B34">
            <w:pPr>
              <w:pStyle w:val="TableRow"/>
              <w:ind w:left="0" w:right="0"/>
              <w:rPr>
                <w:i/>
                <w:iCs/>
                <w:sz w:val="22"/>
                <w:szCs w:val="22"/>
              </w:rPr>
            </w:pPr>
          </w:p>
          <w:p w14:paraId="258C3C5C" w14:textId="092C0D7E" w:rsidR="00E66558" w:rsidRDefault="00E66558" w:rsidP="59801B34">
            <w:pPr>
              <w:pStyle w:val="TableRow"/>
              <w:ind w:left="0" w:right="0"/>
              <w:rPr>
                <w:i/>
                <w:iCs/>
                <w:sz w:val="22"/>
                <w:szCs w:val="22"/>
              </w:rPr>
            </w:pPr>
          </w:p>
          <w:p w14:paraId="0A8A381F" w14:textId="3D6F0011" w:rsidR="00E66558" w:rsidRDefault="00E66558" w:rsidP="59801B34">
            <w:pPr>
              <w:pStyle w:val="TableRow"/>
              <w:ind w:left="0" w:right="0"/>
              <w:rPr>
                <w:i/>
                <w:iCs/>
                <w:sz w:val="22"/>
                <w:szCs w:val="22"/>
              </w:rPr>
            </w:pPr>
          </w:p>
          <w:p w14:paraId="5F4559F1" w14:textId="27778C81" w:rsidR="00E66558" w:rsidRDefault="00E66558" w:rsidP="59801B34">
            <w:pPr>
              <w:pStyle w:val="TableRow"/>
              <w:ind w:left="0" w:right="0"/>
              <w:rPr>
                <w:i/>
                <w:iCs/>
                <w:sz w:val="22"/>
                <w:szCs w:val="22"/>
              </w:rPr>
            </w:pPr>
          </w:p>
          <w:p w14:paraId="2FADD831" w14:textId="166FB231" w:rsidR="00E66558" w:rsidRDefault="00E66558" w:rsidP="59801B34">
            <w:pPr>
              <w:pStyle w:val="TableRow"/>
              <w:ind w:left="0" w:right="0"/>
              <w:rPr>
                <w:i/>
                <w:iCs/>
                <w:sz w:val="22"/>
                <w:szCs w:val="22"/>
              </w:rPr>
            </w:pPr>
          </w:p>
          <w:p w14:paraId="2A7D551E" w14:textId="01700A8E" w:rsidR="00E66558" w:rsidRDefault="00E66558" w:rsidP="59801B34">
            <w:pPr>
              <w:pStyle w:val="TableRow"/>
              <w:ind w:left="0" w:right="0"/>
              <w:rPr>
                <w:i/>
                <w:iCs/>
                <w:sz w:val="22"/>
                <w:szCs w:val="22"/>
              </w:rPr>
            </w:pP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29C9B" w14:textId="26EE2D8B" w:rsidR="00E66558" w:rsidRDefault="6BB30A46" w:rsidP="59801B34">
            <w:pPr>
              <w:pStyle w:val="TableRowCentered"/>
              <w:ind w:left="0" w:right="0"/>
              <w:jc w:val="left"/>
              <w:rPr>
                <w:sz w:val="22"/>
                <w:szCs w:val="22"/>
              </w:rPr>
            </w:pPr>
            <w:r w:rsidRPr="59801B34">
              <w:rPr>
                <w:sz w:val="22"/>
                <w:szCs w:val="22"/>
              </w:rPr>
              <w:lastRenderedPageBreak/>
              <w:t xml:space="preserve">We know from Viviane Robinson’s research that the most effective way that leaders can improve outcomes for young people is to focus on professional </w:t>
            </w:r>
            <w:r w:rsidR="5C776E96" w:rsidRPr="59801B34">
              <w:rPr>
                <w:sz w:val="22"/>
                <w:szCs w:val="22"/>
              </w:rPr>
              <w:t xml:space="preserve">development. </w:t>
            </w:r>
          </w:p>
          <w:p w14:paraId="550555ED" w14:textId="5C75D170" w:rsidR="00E66558" w:rsidRDefault="00E66558" w:rsidP="59801B34">
            <w:pPr>
              <w:pStyle w:val="TableRowCentered"/>
              <w:ind w:left="0" w:right="0"/>
              <w:jc w:val="left"/>
              <w:rPr>
                <w:sz w:val="22"/>
                <w:szCs w:val="22"/>
              </w:rPr>
            </w:pPr>
          </w:p>
          <w:p w14:paraId="09954E05" w14:textId="58343C7B" w:rsidR="00E66558" w:rsidRDefault="4D67B356" w:rsidP="00C31636">
            <w:pPr>
              <w:pStyle w:val="TableRowCentered"/>
              <w:ind w:left="0" w:right="0"/>
              <w:jc w:val="left"/>
            </w:pPr>
            <w:r>
              <w:rPr>
                <w:noProof/>
              </w:rPr>
              <w:drawing>
                <wp:inline distT="0" distB="0" distL="0" distR="0" wp14:anchorId="6846CD10" wp14:editId="11D8125A">
                  <wp:extent cx="3636645" cy="3104774"/>
                  <wp:effectExtent l="0" t="0" r="0" b="0"/>
                  <wp:docPr id="608158607" name="Picture 60815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36645" cy="3104774"/>
                          </a:xfrm>
                          <a:prstGeom prst="rect">
                            <a:avLst/>
                          </a:prstGeom>
                        </pic:spPr>
                      </pic:pic>
                    </a:graphicData>
                  </a:graphic>
                </wp:inline>
              </w:drawing>
            </w:r>
          </w:p>
          <w:p w14:paraId="14EF2E96" w14:textId="0F36FB7B" w:rsidR="00E66558" w:rsidRDefault="00E66558" w:rsidP="00C31636">
            <w:pPr>
              <w:pStyle w:val="TableRowCentered"/>
              <w:ind w:left="0" w:right="0"/>
              <w:jc w:val="left"/>
            </w:pPr>
          </w:p>
          <w:p w14:paraId="73045777" w14:textId="46B3158A" w:rsidR="00E66558" w:rsidRDefault="37683969" w:rsidP="59801B34">
            <w:pPr>
              <w:pStyle w:val="TableRowCentered"/>
              <w:ind w:left="0" w:right="0"/>
              <w:jc w:val="left"/>
              <w:rPr>
                <w:szCs w:val="24"/>
              </w:rPr>
            </w:pPr>
            <w:r w:rsidRPr="59801B34">
              <w:rPr>
                <w:szCs w:val="24"/>
              </w:rPr>
              <w:t>We know from the Sutton Trust that the difference between the effect of poor teaching and that of highly effective teaching is just under half a year’s extra progress for most students. Those from disadvantaged backgroun</w:t>
            </w:r>
            <w:r w:rsidR="3B168F28" w:rsidRPr="59801B34">
              <w:rPr>
                <w:szCs w:val="24"/>
              </w:rPr>
              <w:t xml:space="preserve">ds are </w:t>
            </w:r>
            <w:r w:rsidR="2BF9B3BC" w:rsidRPr="59801B34">
              <w:rPr>
                <w:szCs w:val="24"/>
              </w:rPr>
              <w:t>particularly</w:t>
            </w:r>
            <w:r w:rsidR="3B168F28" w:rsidRPr="59801B34">
              <w:rPr>
                <w:szCs w:val="24"/>
              </w:rPr>
              <w:t xml:space="preserve"> affected as they stand to benefit even more than their classmates from effective </w:t>
            </w:r>
            <w:r w:rsidR="3778CC2D" w:rsidRPr="59801B34">
              <w:rPr>
                <w:szCs w:val="24"/>
              </w:rPr>
              <w:t>teaching</w:t>
            </w:r>
            <w:r w:rsidR="06FE0148" w:rsidRPr="59801B34">
              <w:rPr>
                <w:szCs w:val="24"/>
              </w:rPr>
              <w:t>,</w:t>
            </w:r>
            <w:r w:rsidR="3778CC2D" w:rsidRPr="59801B34">
              <w:rPr>
                <w:szCs w:val="24"/>
              </w:rPr>
              <w:t xml:space="preserve"> but</w:t>
            </w:r>
            <w:r w:rsidR="3B168F28" w:rsidRPr="59801B34">
              <w:rPr>
                <w:szCs w:val="24"/>
              </w:rPr>
              <w:t xml:space="preserve"> </w:t>
            </w:r>
            <w:r w:rsidR="00E18E7A" w:rsidRPr="59801B34">
              <w:rPr>
                <w:szCs w:val="24"/>
              </w:rPr>
              <w:t>similar</w:t>
            </w:r>
            <w:r w:rsidR="5932E702" w:rsidRPr="59801B34">
              <w:rPr>
                <w:szCs w:val="24"/>
              </w:rPr>
              <w:t xml:space="preserve">ly they are also </w:t>
            </w:r>
            <w:r w:rsidR="3B168F28" w:rsidRPr="59801B34">
              <w:rPr>
                <w:szCs w:val="24"/>
              </w:rPr>
              <w:t xml:space="preserve">more sensitive to poor </w:t>
            </w:r>
            <w:r w:rsidR="445BEDF4" w:rsidRPr="59801B34">
              <w:rPr>
                <w:szCs w:val="24"/>
              </w:rPr>
              <w:t xml:space="preserve">teaching. This highlight the need to ensure that high quality teaching is widespread. </w:t>
            </w:r>
          </w:p>
          <w:p w14:paraId="04E09988" w14:textId="02FA2DB5" w:rsidR="00E66558" w:rsidRDefault="00E66558" w:rsidP="00C31636">
            <w:pPr>
              <w:pStyle w:val="TableRowCentered"/>
              <w:ind w:left="0" w:right="0"/>
              <w:jc w:val="left"/>
            </w:pPr>
          </w:p>
          <w:p w14:paraId="34B62ABB" w14:textId="3CD6820D" w:rsidR="00E66558" w:rsidRDefault="7FCDE6F8" w:rsidP="00C31636">
            <w:pPr>
              <w:pStyle w:val="TableRowCentered"/>
              <w:ind w:left="0" w:right="0"/>
              <w:jc w:val="left"/>
            </w:pPr>
            <w:r>
              <w:rPr>
                <w:noProof/>
              </w:rPr>
              <w:lastRenderedPageBreak/>
              <w:drawing>
                <wp:inline distT="0" distB="0" distL="0" distR="0" wp14:anchorId="56432D48" wp14:editId="4F2DBCE7">
                  <wp:extent cx="3636645" cy="1619925"/>
                  <wp:effectExtent l="0" t="0" r="0" b="0"/>
                  <wp:docPr id="1648358604" name="Picture 164835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36645" cy="1619925"/>
                          </a:xfrm>
                          <a:prstGeom prst="rect">
                            <a:avLst/>
                          </a:prstGeom>
                        </pic:spPr>
                      </pic:pic>
                    </a:graphicData>
                  </a:graphic>
                </wp:inline>
              </w:drawing>
            </w:r>
          </w:p>
          <w:p w14:paraId="4339015E" w14:textId="07ACE5EF" w:rsidR="00E66558" w:rsidRDefault="00E66558" w:rsidP="00C31636">
            <w:pPr>
              <w:pStyle w:val="TableRowCentered"/>
              <w:ind w:left="0" w:right="0"/>
              <w:jc w:val="left"/>
            </w:pPr>
          </w:p>
          <w:p w14:paraId="6C7F98E8" w14:textId="116C5B3D" w:rsidR="00E66558" w:rsidRDefault="7FCDE6F8" w:rsidP="00C31636">
            <w:pPr>
              <w:pStyle w:val="TableRowCentered"/>
              <w:ind w:left="0" w:right="0"/>
              <w:jc w:val="left"/>
            </w:pPr>
            <w:r>
              <w:t>We know from the EPPI-Centre Studies into Collaborative Professional Development that when Professional Development is carried out effectively</w:t>
            </w:r>
            <w:r w:rsidR="0DE17097">
              <w:t xml:space="preserve"> it has a host of benefits for staff and students.</w:t>
            </w:r>
          </w:p>
          <w:p w14:paraId="25F29708" w14:textId="237E3E6A" w:rsidR="00E66558" w:rsidRDefault="00E66558" w:rsidP="00C31636">
            <w:pPr>
              <w:pStyle w:val="TableRowCentered"/>
              <w:ind w:left="0" w:right="0"/>
              <w:jc w:val="left"/>
            </w:pPr>
          </w:p>
          <w:p w14:paraId="3A796FA4" w14:textId="6C48D0FD" w:rsidR="00E66558" w:rsidRDefault="6127EB2B" w:rsidP="59801B34">
            <w:pPr>
              <w:pStyle w:val="TableRowCentered"/>
              <w:ind w:left="0" w:right="0"/>
              <w:jc w:val="left"/>
              <w:rPr>
                <w:i/>
                <w:iCs/>
              </w:rPr>
            </w:pPr>
            <w:r w:rsidRPr="59801B34">
              <w:rPr>
                <w:i/>
                <w:iCs/>
              </w:rPr>
              <w:t>Equity in Education Lee Elliot Major 2023</w:t>
            </w:r>
          </w:p>
          <w:p w14:paraId="3AE64748" w14:textId="06BB1CA1" w:rsidR="00E66558" w:rsidRDefault="00E66558" w:rsidP="00C31636">
            <w:pPr>
              <w:pStyle w:val="TableRowCentered"/>
              <w:ind w:left="0" w:right="0"/>
              <w:jc w:val="left"/>
            </w:pPr>
          </w:p>
          <w:p w14:paraId="7A91B7A5" w14:textId="502D98AF" w:rsidR="00E66558" w:rsidRDefault="0DE17097" w:rsidP="00C31636">
            <w:pPr>
              <w:pStyle w:val="TableRowCentered"/>
              <w:ind w:left="0" w:right="0"/>
              <w:jc w:val="left"/>
            </w:pPr>
            <w:r>
              <w:rPr>
                <w:noProof/>
              </w:rPr>
              <w:drawing>
                <wp:inline distT="0" distB="0" distL="0" distR="0" wp14:anchorId="671BB74C" wp14:editId="670C18A6">
                  <wp:extent cx="3708044" cy="2488616"/>
                  <wp:effectExtent l="0" t="0" r="0" b="0"/>
                  <wp:docPr id="1508519172" name="Picture 150851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708044" cy="2488616"/>
                          </a:xfrm>
                          <a:prstGeom prst="rect">
                            <a:avLst/>
                          </a:prstGeom>
                        </pic:spPr>
                      </pic:pic>
                    </a:graphicData>
                  </a:graphic>
                </wp:inline>
              </w:drawing>
            </w:r>
          </w:p>
          <w:p w14:paraId="3B938558" w14:textId="0298AFB3" w:rsidR="00E66558" w:rsidRDefault="00E66558" w:rsidP="00C31636">
            <w:pPr>
              <w:pStyle w:val="TableRowCentered"/>
              <w:ind w:left="0" w:right="0"/>
              <w:jc w:val="left"/>
            </w:pPr>
          </w:p>
          <w:p w14:paraId="0713E43A" w14:textId="1A6C6851" w:rsidR="00E66558" w:rsidRDefault="00E66558" w:rsidP="00C31636">
            <w:pPr>
              <w:pStyle w:val="TableRowCentered"/>
              <w:ind w:left="0" w:right="0"/>
              <w:jc w:val="left"/>
            </w:pPr>
          </w:p>
          <w:p w14:paraId="6A78870E" w14:textId="3567F0D8" w:rsidR="00E66558" w:rsidRDefault="00E66558" w:rsidP="00C31636">
            <w:pPr>
              <w:pStyle w:val="TableRowCentered"/>
              <w:ind w:left="0" w:right="0"/>
              <w:jc w:val="left"/>
            </w:pPr>
          </w:p>
          <w:p w14:paraId="2A7D551F" w14:textId="3331A09F" w:rsidR="00E66558" w:rsidRDefault="00E66558" w:rsidP="00C31636">
            <w:pPr>
              <w:pStyle w:val="TableRowCentered"/>
              <w:ind w:left="0" w:right="0"/>
              <w:jc w:val="left"/>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B397673" w:rsidR="00E66558" w:rsidRDefault="668CBB49" w:rsidP="59801B34">
            <w:pPr>
              <w:pStyle w:val="TableRowCentered"/>
              <w:ind w:left="0" w:right="0"/>
              <w:jc w:val="left"/>
              <w:rPr>
                <w:sz w:val="22"/>
                <w:szCs w:val="22"/>
              </w:rPr>
            </w:pPr>
            <w:r w:rsidRPr="59801B34">
              <w:rPr>
                <w:sz w:val="22"/>
                <w:szCs w:val="22"/>
              </w:rPr>
              <w:lastRenderedPageBreak/>
              <w:t>1</w:t>
            </w:r>
          </w:p>
        </w:tc>
      </w:tr>
      <w:tr w:rsidR="59801B34" w14:paraId="27FD4179" w14:textId="77777777" w:rsidTr="59801B34">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84C3D" w14:textId="2E8C0307" w:rsidR="3A81F43D" w:rsidRDefault="3A81F43D" w:rsidP="59801B34">
            <w:pPr>
              <w:shd w:val="clear" w:color="auto" w:fill="FFFFFF" w:themeFill="background1"/>
              <w:spacing w:after="160" w:line="257" w:lineRule="auto"/>
              <w:rPr>
                <w:rFonts w:eastAsia="Arial" w:cs="Arial"/>
                <w:color w:val="auto"/>
              </w:rPr>
            </w:pPr>
            <w:r w:rsidRPr="59801B34">
              <w:rPr>
                <w:rFonts w:eastAsia="Arial" w:cs="Arial"/>
                <w:b/>
                <w:bCs/>
                <w:color w:val="auto"/>
              </w:rPr>
              <w:t xml:space="preserve">The </w:t>
            </w:r>
            <w:proofErr w:type="spellStart"/>
            <w:r w:rsidRPr="59801B34">
              <w:rPr>
                <w:rFonts w:eastAsia="Arial" w:cs="Arial"/>
                <w:b/>
                <w:bCs/>
                <w:color w:val="auto"/>
              </w:rPr>
              <w:t>Rosenshine</w:t>
            </w:r>
            <w:proofErr w:type="spellEnd"/>
            <w:r w:rsidRPr="59801B34">
              <w:rPr>
                <w:rFonts w:eastAsia="Arial" w:cs="Arial"/>
                <w:b/>
                <w:bCs/>
                <w:color w:val="auto"/>
              </w:rPr>
              <w:t xml:space="preserve"> steps</w:t>
            </w:r>
            <w:r w:rsidRPr="59801B34">
              <w:rPr>
                <w:rFonts w:eastAsia="Arial" w:cs="Arial"/>
                <w:color w:val="auto"/>
              </w:rPr>
              <w:t xml:space="preserve"> will guide our pedagogy.</w:t>
            </w:r>
            <w:r w:rsidR="2E0371D4" w:rsidRPr="59801B34">
              <w:rPr>
                <w:rFonts w:eastAsia="Arial" w:cs="Arial"/>
                <w:color w:val="auto"/>
              </w:rPr>
              <w:t xml:space="preserve"> These are built into Subject Handbooks and curriculum implementation. Examples include the following:</w:t>
            </w:r>
          </w:p>
          <w:p w14:paraId="17EE9A93" w14:textId="6E5286EC" w:rsidR="3A81F43D" w:rsidRDefault="3A81F43D" w:rsidP="59801B34">
            <w:pPr>
              <w:shd w:val="clear" w:color="auto" w:fill="FFFFFF" w:themeFill="background1"/>
              <w:spacing w:after="160" w:line="257" w:lineRule="auto"/>
              <w:rPr>
                <w:rFonts w:eastAsia="Arial" w:cs="Arial"/>
                <w:color w:val="auto"/>
              </w:rPr>
            </w:pPr>
            <w:r w:rsidRPr="59801B34">
              <w:rPr>
                <w:rFonts w:eastAsia="Arial" w:cs="Arial"/>
                <w:color w:val="auto"/>
              </w:rPr>
              <w:lastRenderedPageBreak/>
              <w:t xml:space="preserve">We use the ‘I do, we do, you do’ model to support </w:t>
            </w:r>
            <w:proofErr w:type="spellStart"/>
            <w:r w:rsidRPr="59801B34">
              <w:rPr>
                <w:rFonts w:eastAsia="Arial" w:cs="Arial"/>
                <w:color w:val="auto"/>
              </w:rPr>
              <w:t>Rosenshine</w:t>
            </w:r>
            <w:proofErr w:type="spellEnd"/>
            <w:r w:rsidRPr="59801B34">
              <w:rPr>
                <w:rFonts w:eastAsia="Arial" w:cs="Arial"/>
                <w:color w:val="auto"/>
              </w:rPr>
              <w:t xml:space="preserve">. We will share good practice of this with staff. </w:t>
            </w:r>
          </w:p>
          <w:p w14:paraId="2AE8171A" w14:textId="66CAE5E0" w:rsidR="3A81F43D" w:rsidRDefault="3A81F43D" w:rsidP="59801B34">
            <w:pPr>
              <w:shd w:val="clear" w:color="auto" w:fill="FFFFFF" w:themeFill="background1"/>
              <w:spacing w:after="160" w:line="257" w:lineRule="auto"/>
              <w:rPr>
                <w:rFonts w:eastAsia="Arial" w:cs="Arial"/>
                <w:color w:val="auto"/>
              </w:rPr>
            </w:pPr>
            <w:r w:rsidRPr="59801B34">
              <w:rPr>
                <w:rFonts w:eastAsia="Arial" w:cs="Arial"/>
                <w:color w:val="auto"/>
              </w:rPr>
              <w:t xml:space="preserve"> Our ‘Do </w:t>
            </w:r>
            <w:proofErr w:type="spellStart"/>
            <w:r w:rsidRPr="59801B34">
              <w:rPr>
                <w:rFonts w:eastAsia="Arial" w:cs="Arial"/>
                <w:color w:val="auto"/>
              </w:rPr>
              <w:t>Nows’</w:t>
            </w:r>
            <w:proofErr w:type="spellEnd"/>
            <w:r w:rsidRPr="59801B34">
              <w:rPr>
                <w:rFonts w:eastAsia="Arial" w:cs="Arial"/>
                <w:color w:val="auto"/>
              </w:rPr>
              <w:t xml:space="preserve"> are designed to connect new learning with prior learning. We will continue to use these in all lessons to support the schema.</w:t>
            </w:r>
          </w:p>
          <w:p w14:paraId="198441DB" w14:textId="24CEFC95" w:rsidR="59801B34" w:rsidRDefault="59801B34" w:rsidP="59801B34">
            <w:pPr>
              <w:spacing w:line="257" w:lineRule="auto"/>
            </w:pP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F25C4" w14:textId="07D3F6AC" w:rsidR="3814F0F2" w:rsidRDefault="3814F0F2" w:rsidP="59801B34">
            <w:pPr>
              <w:pStyle w:val="TableRowCentered"/>
              <w:jc w:val="left"/>
              <w:rPr>
                <w:sz w:val="22"/>
                <w:szCs w:val="22"/>
              </w:rPr>
            </w:pPr>
            <w:r w:rsidRPr="59801B34">
              <w:rPr>
                <w:sz w:val="22"/>
                <w:szCs w:val="22"/>
              </w:rPr>
              <w:lastRenderedPageBreak/>
              <w:t xml:space="preserve">Principles of Instruction- </w:t>
            </w:r>
            <w:proofErr w:type="spellStart"/>
            <w:r w:rsidRPr="59801B34">
              <w:rPr>
                <w:sz w:val="22"/>
                <w:szCs w:val="22"/>
              </w:rPr>
              <w:t>Borak</w:t>
            </w:r>
            <w:proofErr w:type="spellEnd"/>
            <w:r w:rsidRPr="59801B34">
              <w:rPr>
                <w:sz w:val="22"/>
                <w:szCs w:val="22"/>
              </w:rPr>
              <w:t xml:space="preserve"> </w:t>
            </w:r>
            <w:proofErr w:type="spellStart"/>
            <w:r w:rsidRPr="59801B34">
              <w:rPr>
                <w:sz w:val="22"/>
                <w:szCs w:val="22"/>
              </w:rPr>
              <w:t>Rosenshine</w:t>
            </w:r>
            <w:proofErr w:type="spellEnd"/>
            <w:r w:rsidRPr="59801B34">
              <w:rPr>
                <w:sz w:val="22"/>
                <w:szCs w:val="22"/>
              </w:rPr>
              <w:t xml:space="preserve"> 2012</w:t>
            </w:r>
          </w:p>
          <w:p w14:paraId="3D272D93" w14:textId="0BB4A951" w:rsidR="3814F0F2" w:rsidRDefault="3814F0F2" w:rsidP="59801B34">
            <w:pPr>
              <w:pStyle w:val="TableRowCentered"/>
              <w:jc w:val="left"/>
              <w:rPr>
                <w:sz w:val="22"/>
                <w:szCs w:val="22"/>
              </w:rPr>
            </w:pPr>
            <w:proofErr w:type="spellStart"/>
            <w:r w:rsidRPr="59801B34">
              <w:rPr>
                <w:sz w:val="22"/>
                <w:szCs w:val="22"/>
              </w:rPr>
              <w:t>Rosenshine’s</w:t>
            </w:r>
            <w:proofErr w:type="spellEnd"/>
            <w:r w:rsidRPr="59801B34">
              <w:rPr>
                <w:sz w:val="22"/>
                <w:szCs w:val="22"/>
              </w:rPr>
              <w:t xml:space="preserve"> Principles in Action, Tom Sherrington </w:t>
            </w:r>
            <w:r w:rsidR="167389E7" w:rsidRPr="59801B34">
              <w:rPr>
                <w:sz w:val="22"/>
                <w:szCs w:val="22"/>
              </w:rPr>
              <w:t>2019</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CFF54" w14:textId="11A84B8F" w:rsidR="5083B38C" w:rsidRDefault="5083B38C" w:rsidP="59801B34">
            <w:pPr>
              <w:pStyle w:val="TableRowCentered"/>
              <w:jc w:val="left"/>
              <w:rPr>
                <w:sz w:val="22"/>
                <w:szCs w:val="22"/>
              </w:rPr>
            </w:pPr>
            <w:r w:rsidRPr="59801B34">
              <w:rPr>
                <w:sz w:val="22"/>
                <w:szCs w:val="22"/>
              </w:rPr>
              <w:t>1</w:t>
            </w:r>
          </w:p>
        </w:tc>
      </w:tr>
      <w:tr w:rsidR="59801B34" w14:paraId="04F65CA9" w14:textId="77777777" w:rsidTr="59801B34">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6D037" w14:textId="4757E955" w:rsidR="59801B34" w:rsidRDefault="59801B34" w:rsidP="59801B34">
            <w:pPr>
              <w:pStyle w:val="TableRow"/>
              <w:ind w:left="0" w:right="0"/>
            </w:pPr>
          </w:p>
          <w:p w14:paraId="14D7A757" w14:textId="4A541C6F" w:rsidR="7BB1BBDF" w:rsidRDefault="7BB1BBDF" w:rsidP="59801B34">
            <w:pPr>
              <w:pStyle w:val="TableRow"/>
              <w:ind w:left="0" w:right="0"/>
            </w:pPr>
            <w:r w:rsidRPr="59801B34">
              <w:t>Embedding effective</w:t>
            </w:r>
            <w:r w:rsidRPr="59801B34">
              <w:rPr>
                <w:b/>
                <w:bCs/>
              </w:rPr>
              <w:t xml:space="preserve"> formative assessment.</w:t>
            </w:r>
          </w:p>
          <w:p w14:paraId="2572E321" w14:textId="41A3BF8F" w:rsidR="59801B34" w:rsidRDefault="59801B34" w:rsidP="59801B34">
            <w:pPr>
              <w:pStyle w:val="TableRow"/>
              <w:ind w:left="0" w:right="0"/>
              <w:rPr>
                <w:b/>
                <w:bCs/>
              </w:rPr>
            </w:pPr>
          </w:p>
          <w:p w14:paraId="37F588AB" w14:textId="030856A6" w:rsidR="7D3002A2" w:rsidRDefault="7D3002A2" w:rsidP="59801B34">
            <w:pPr>
              <w:pStyle w:val="TableRow"/>
              <w:ind w:left="0" w:right="0"/>
            </w:pPr>
            <w:r w:rsidRPr="59801B34">
              <w:t xml:space="preserve">Continued sharing of good practice around effective questioning, continued CPD and coaching on effective questioning.  </w:t>
            </w:r>
          </w:p>
          <w:p w14:paraId="4C368983" w14:textId="4CB99808" w:rsidR="59801B34" w:rsidRDefault="59801B34" w:rsidP="59801B34">
            <w:pPr>
              <w:pStyle w:val="TableRow"/>
              <w:ind w:left="0" w:right="0"/>
            </w:pPr>
          </w:p>
          <w:p w14:paraId="3D86AF6D" w14:textId="412350BD" w:rsidR="7F71C67E" w:rsidRDefault="7F71C67E" w:rsidP="59801B34">
            <w:pPr>
              <w:pStyle w:val="TableRow"/>
              <w:ind w:left="0" w:right="0"/>
            </w:pPr>
            <w:r w:rsidRPr="59801B34">
              <w:t xml:space="preserve">We will use Mini Whiteboards in all </w:t>
            </w:r>
            <w:r w:rsidR="1C271725" w:rsidRPr="59801B34">
              <w:t>classrooms</w:t>
            </w:r>
            <w:r w:rsidRPr="59801B34">
              <w:t xml:space="preserve"> to ensure that we deepen learning and check understanding systematically. We will continue to </w:t>
            </w:r>
            <w:r w:rsidR="0E20FACD" w:rsidRPr="59801B34">
              <w:t>offer regular CPD to</w:t>
            </w:r>
            <w:r w:rsidRPr="59801B34">
              <w:t xml:space="preserve"> staff on </w:t>
            </w:r>
            <w:r w:rsidR="44FF5656" w:rsidRPr="59801B34">
              <w:t xml:space="preserve">the effective use of Mini Whiteboards. We </w:t>
            </w:r>
            <w:r w:rsidR="44FF5656" w:rsidRPr="59801B34">
              <w:lastRenderedPageBreak/>
              <w:t>will also ensure that all teachers in school are coached on their formative assessment</w:t>
            </w:r>
            <w:r w:rsidR="4F778C38" w:rsidRPr="59801B34">
              <w:t xml:space="preserve"> skills. (Objective 3 of the Individual Growth Plan). </w:t>
            </w:r>
          </w:p>
          <w:p w14:paraId="6781E9B9" w14:textId="04F40B56" w:rsidR="46F96B29" w:rsidRDefault="46F96B29" w:rsidP="59801B34">
            <w:pPr>
              <w:pStyle w:val="TableRow"/>
              <w:ind w:left="0" w:right="0"/>
            </w:pPr>
            <w:r w:rsidRPr="59801B34">
              <w:t xml:space="preserve">Routine QA that offers constructive feedback is built into the calendar termly. </w:t>
            </w:r>
          </w:p>
          <w:p w14:paraId="07FF0262" w14:textId="7A3444A5" w:rsidR="59801B34" w:rsidRDefault="59801B34" w:rsidP="59801B34">
            <w:pPr>
              <w:pStyle w:val="TableRow"/>
              <w:ind w:left="0" w:right="0"/>
            </w:pP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5BE6C" w14:textId="63A95E5E" w:rsidR="72262363" w:rsidRDefault="72262363" w:rsidP="59801B34">
            <w:pPr>
              <w:pStyle w:val="TableRowCentered"/>
              <w:jc w:val="left"/>
              <w:rPr>
                <w:sz w:val="22"/>
                <w:szCs w:val="22"/>
              </w:rPr>
            </w:pPr>
            <w:r w:rsidRPr="59801B34">
              <w:rPr>
                <w:sz w:val="22"/>
                <w:szCs w:val="22"/>
              </w:rPr>
              <w:lastRenderedPageBreak/>
              <w:t xml:space="preserve">Hattie 2012 </w:t>
            </w:r>
            <w:r w:rsidR="0F16B60D" w:rsidRPr="59801B34">
              <w:rPr>
                <w:sz w:val="22"/>
                <w:szCs w:val="22"/>
              </w:rPr>
              <w:t xml:space="preserve">said that the key to quality questioning is the type of questions and how </w:t>
            </w:r>
            <w:r w:rsidR="27EAD334" w:rsidRPr="59801B34">
              <w:rPr>
                <w:sz w:val="22"/>
                <w:szCs w:val="22"/>
              </w:rPr>
              <w:t>they are used.</w:t>
            </w:r>
            <w:r w:rsidRPr="59801B34">
              <w:rPr>
                <w:sz w:val="22"/>
                <w:szCs w:val="22"/>
              </w:rPr>
              <w:t xml:space="preserve"> </w:t>
            </w:r>
          </w:p>
          <w:p w14:paraId="013584D0" w14:textId="17B92E75" w:rsidR="72262363" w:rsidRDefault="72262363" w:rsidP="59801B34">
            <w:pPr>
              <w:pStyle w:val="TableRowCentered"/>
              <w:jc w:val="left"/>
              <w:rPr>
                <w:sz w:val="22"/>
                <w:szCs w:val="22"/>
              </w:rPr>
            </w:pPr>
            <w:proofErr w:type="spellStart"/>
            <w:r w:rsidRPr="59801B34">
              <w:rPr>
                <w:sz w:val="22"/>
                <w:szCs w:val="22"/>
              </w:rPr>
              <w:t>Rosenshine</w:t>
            </w:r>
            <w:proofErr w:type="spellEnd"/>
            <w:r w:rsidRPr="59801B34">
              <w:rPr>
                <w:sz w:val="22"/>
                <w:szCs w:val="22"/>
              </w:rPr>
              <w:t xml:space="preserve"> 2012</w:t>
            </w:r>
            <w:r w:rsidR="705050AA" w:rsidRPr="59801B34">
              <w:rPr>
                <w:sz w:val="22"/>
                <w:szCs w:val="22"/>
              </w:rPr>
              <w:t xml:space="preserve"> encourages teachers to ‘ask a large number of questions and check the responses of all studen</w:t>
            </w:r>
            <w:r w:rsidR="60BB9DCE" w:rsidRPr="59801B34">
              <w:rPr>
                <w:sz w:val="22"/>
                <w:szCs w:val="22"/>
              </w:rPr>
              <w:t>ts.</w:t>
            </w:r>
          </w:p>
          <w:p w14:paraId="5EFD064A" w14:textId="63824FAB" w:rsidR="60BB9DCE" w:rsidRDefault="60BB9DCE" w:rsidP="59801B34">
            <w:pPr>
              <w:pStyle w:val="TableRowCentered"/>
              <w:ind w:left="0"/>
              <w:jc w:val="left"/>
              <w:rPr>
                <w:sz w:val="22"/>
                <w:szCs w:val="22"/>
              </w:rPr>
            </w:pPr>
            <w:r w:rsidRPr="59801B34">
              <w:rPr>
                <w:sz w:val="22"/>
                <w:szCs w:val="22"/>
              </w:rPr>
              <w:t>‘Teachers use questioning for two main- and quite distinct- purpos</w:t>
            </w:r>
            <w:r w:rsidR="54CCF5CF" w:rsidRPr="59801B34">
              <w:rPr>
                <w:sz w:val="22"/>
                <w:szCs w:val="22"/>
              </w:rPr>
              <w:t xml:space="preserve">es: to promote students’ thinking, and to assess it’. </w:t>
            </w:r>
          </w:p>
          <w:p w14:paraId="173CB360" w14:textId="7533AC41" w:rsidR="54CCF5CF" w:rsidRDefault="54CCF5CF" w:rsidP="59801B34">
            <w:pPr>
              <w:pStyle w:val="TableRowCentered"/>
              <w:ind w:left="0"/>
              <w:jc w:val="left"/>
              <w:rPr>
                <w:sz w:val="22"/>
                <w:szCs w:val="22"/>
              </w:rPr>
            </w:pPr>
            <w:r w:rsidRPr="59801B34">
              <w:rPr>
                <w:sz w:val="22"/>
                <w:szCs w:val="22"/>
              </w:rPr>
              <w:t xml:space="preserve">‘The Great Teaching Toolkit’, Evidence Based Education. </w:t>
            </w:r>
          </w:p>
          <w:p w14:paraId="0848CB68" w14:textId="03AC3FF6" w:rsidR="09E086D8" w:rsidRDefault="09E086D8" w:rsidP="59801B34">
            <w:pPr>
              <w:pStyle w:val="TableRowCentered"/>
              <w:ind w:left="0"/>
              <w:jc w:val="left"/>
              <w:rPr>
                <w:sz w:val="22"/>
                <w:szCs w:val="22"/>
              </w:rPr>
            </w:pPr>
            <w:r w:rsidRPr="59801B34">
              <w:rPr>
                <w:sz w:val="22"/>
                <w:szCs w:val="22"/>
              </w:rPr>
              <w:t>Hattie (2003) Teachers Make a Difference.</w:t>
            </w:r>
          </w:p>
          <w:p w14:paraId="3F0EFBE2" w14:textId="6926033C" w:rsidR="09E086D8" w:rsidRDefault="09E086D8" w:rsidP="59801B34">
            <w:pPr>
              <w:pStyle w:val="TableRowCentered"/>
              <w:ind w:left="0"/>
              <w:jc w:val="left"/>
              <w:rPr>
                <w:sz w:val="22"/>
                <w:szCs w:val="22"/>
              </w:rPr>
            </w:pPr>
            <w:r w:rsidRPr="59801B34">
              <w:rPr>
                <w:sz w:val="22"/>
                <w:szCs w:val="22"/>
              </w:rPr>
              <w:t>Research briefing National Research Development Centre</w:t>
            </w:r>
          </w:p>
          <w:p w14:paraId="7214FF56" w14:textId="7E657AD4" w:rsidR="5F66B97C" w:rsidRDefault="5F66B97C" w:rsidP="59801B34">
            <w:pPr>
              <w:pStyle w:val="TableRowCentered"/>
              <w:ind w:left="0"/>
              <w:jc w:val="left"/>
              <w:rPr>
                <w:sz w:val="22"/>
                <w:szCs w:val="22"/>
              </w:rPr>
            </w:pPr>
            <w:r w:rsidRPr="59801B34">
              <w:rPr>
                <w:sz w:val="22"/>
                <w:szCs w:val="22"/>
              </w:rPr>
              <w:t xml:space="preserve">Dylan William and Siobhan (2011), Embedded Formative Assessment.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088CB" w14:textId="5862EE9B" w:rsidR="5E4778B1" w:rsidRDefault="5E4778B1" w:rsidP="59801B34">
            <w:pPr>
              <w:pStyle w:val="TableRowCentered"/>
              <w:jc w:val="left"/>
              <w:rPr>
                <w:sz w:val="22"/>
                <w:szCs w:val="22"/>
              </w:rPr>
            </w:pPr>
            <w:r w:rsidRPr="59801B34">
              <w:rPr>
                <w:sz w:val="22"/>
                <w:szCs w:val="22"/>
              </w:rPr>
              <w:t>1</w:t>
            </w:r>
          </w:p>
        </w:tc>
      </w:tr>
      <w:tr w:rsidR="59801B34" w14:paraId="726AEAE2" w14:textId="77777777" w:rsidTr="59801B34">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4D1D1E" w14:textId="46872639" w:rsidR="7BB1BBDF" w:rsidRDefault="7BB1BBDF" w:rsidP="59801B34">
            <w:pPr>
              <w:pStyle w:val="TableRow"/>
              <w:rPr>
                <w:b/>
                <w:bCs/>
              </w:rPr>
            </w:pPr>
            <w:r w:rsidRPr="59801B34">
              <w:t xml:space="preserve">Building on our </w:t>
            </w:r>
            <w:r w:rsidRPr="59801B34">
              <w:rPr>
                <w:b/>
                <w:bCs/>
              </w:rPr>
              <w:t>rich and robust curriculum</w:t>
            </w:r>
            <w:r w:rsidR="4D92B634" w:rsidRPr="59801B34">
              <w:rPr>
                <w:b/>
                <w:bCs/>
              </w:rPr>
              <w:t xml:space="preserve">: </w:t>
            </w:r>
          </w:p>
          <w:p w14:paraId="7C61A713" w14:textId="28768D7B" w:rsidR="3609F020" w:rsidRDefault="3609F020" w:rsidP="59801B34">
            <w:pPr>
              <w:pStyle w:val="TableRow"/>
            </w:pPr>
            <w:r w:rsidRPr="59801B34">
              <w:t xml:space="preserve">We want to widen our curriculum so that it offers insight into how </w:t>
            </w:r>
            <w:r w:rsidR="321A614D" w:rsidRPr="59801B34">
              <w:t>working-class</w:t>
            </w:r>
            <w:r w:rsidRPr="59801B34">
              <w:t xml:space="preserve"> people have a</w:t>
            </w:r>
            <w:r w:rsidR="54B96DE0" w:rsidRPr="59801B34">
              <w:t>chieved great things,</w:t>
            </w:r>
            <w:r w:rsidR="6EFD5B36" w:rsidRPr="59801B34">
              <w:t xml:space="preserve"> we want this to inspire our PP </w:t>
            </w:r>
            <w:r w:rsidR="3FF0DE21" w:rsidRPr="59801B34">
              <w:t>students within</w:t>
            </w:r>
            <w:r w:rsidR="54B96DE0" w:rsidRPr="59801B34">
              <w:t xml:space="preserve"> the learning contex</w:t>
            </w:r>
            <w:r w:rsidR="6CCBD4ED" w:rsidRPr="59801B34">
              <w:t xml:space="preserve">t. </w:t>
            </w:r>
          </w:p>
          <w:p w14:paraId="79ADD0E8" w14:textId="01D110C2" w:rsidR="59801B34" w:rsidRDefault="59801B34" w:rsidP="59801B34">
            <w:pPr>
              <w:pStyle w:val="TableRow"/>
            </w:pP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6FFB3" w14:textId="48851919" w:rsidR="10098531" w:rsidRDefault="10098531" w:rsidP="59801B34">
            <w:pPr>
              <w:pStyle w:val="TableRowCentered"/>
              <w:jc w:val="left"/>
              <w:rPr>
                <w:sz w:val="22"/>
                <w:szCs w:val="22"/>
              </w:rPr>
            </w:pPr>
            <w:r w:rsidRPr="59801B34">
              <w:rPr>
                <w:sz w:val="22"/>
                <w:szCs w:val="22"/>
              </w:rPr>
              <w:t xml:space="preserve">We know from David Steiner’s Curriculum Research that </w:t>
            </w:r>
            <w:r w:rsidR="5CC9946A" w:rsidRPr="59801B34">
              <w:rPr>
                <w:sz w:val="22"/>
                <w:szCs w:val="22"/>
              </w:rPr>
              <w:t>‘</w:t>
            </w:r>
            <w:r w:rsidRPr="59801B34">
              <w:rPr>
                <w:sz w:val="22"/>
                <w:szCs w:val="22"/>
              </w:rPr>
              <w:t xml:space="preserve">curriculum is a critical factor in student academic success. </w:t>
            </w:r>
            <w:r w:rsidR="0869A39F" w:rsidRPr="59801B34">
              <w:rPr>
                <w:sz w:val="22"/>
                <w:szCs w:val="22"/>
              </w:rPr>
              <w:t>A comprehensive</w:t>
            </w:r>
            <w:r w:rsidR="11D1E80B" w:rsidRPr="59801B34">
              <w:rPr>
                <w:sz w:val="22"/>
                <w:szCs w:val="22"/>
              </w:rPr>
              <w:t>, content-rich curriculum is a common feature of academically high-performing countries’</w:t>
            </w:r>
          </w:p>
          <w:p w14:paraId="0615EF14" w14:textId="1F6936F7" w:rsidR="59801B34" w:rsidRDefault="59801B34" w:rsidP="59801B34">
            <w:pPr>
              <w:pStyle w:val="TableRowCentered"/>
              <w:jc w:val="left"/>
              <w:rPr>
                <w:sz w:val="22"/>
                <w:szCs w:val="22"/>
              </w:rPr>
            </w:pPr>
          </w:p>
          <w:p w14:paraId="25B53D82" w14:textId="24C88F90" w:rsidR="552C2042" w:rsidRDefault="552C2042" w:rsidP="59801B34">
            <w:pPr>
              <w:pStyle w:val="TableRowCentered"/>
              <w:jc w:val="left"/>
              <w:rPr>
                <w:sz w:val="22"/>
                <w:szCs w:val="22"/>
              </w:rPr>
            </w:pPr>
            <w:r w:rsidRPr="59801B34">
              <w:rPr>
                <w:sz w:val="22"/>
                <w:szCs w:val="22"/>
              </w:rPr>
              <w:t xml:space="preserve"> Equity in Education</w:t>
            </w:r>
            <w:r w:rsidR="5A499B75" w:rsidRPr="59801B34">
              <w:rPr>
                <w:sz w:val="22"/>
                <w:szCs w:val="22"/>
              </w:rPr>
              <w:t xml:space="preserve"> Le</w:t>
            </w:r>
            <w:r w:rsidRPr="59801B34">
              <w:rPr>
                <w:sz w:val="22"/>
                <w:szCs w:val="22"/>
              </w:rPr>
              <w:t>e Elliot Major (2023)</w:t>
            </w:r>
            <w:r w:rsidR="7A17E119" w:rsidRPr="59801B34">
              <w:rPr>
                <w:sz w:val="22"/>
                <w:szCs w:val="22"/>
              </w:rPr>
              <w:t xml:space="preserve">: Enriching and inspiring PP students through the Curriculum. </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DD4B0" w14:textId="4BFEFD01" w:rsidR="084779A6" w:rsidRDefault="084779A6" w:rsidP="59801B34">
            <w:pPr>
              <w:pStyle w:val="TableRowCentered"/>
              <w:jc w:val="left"/>
              <w:rPr>
                <w:sz w:val="22"/>
                <w:szCs w:val="22"/>
              </w:rPr>
            </w:pPr>
            <w:r w:rsidRPr="59801B34">
              <w:rPr>
                <w:sz w:val="22"/>
                <w:szCs w:val="22"/>
              </w:rPr>
              <w:t>1</w:t>
            </w:r>
          </w:p>
        </w:tc>
      </w:tr>
      <w:tr w:rsidR="59801B34" w14:paraId="31BB3676" w14:textId="77777777" w:rsidTr="59801B34">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505C5" w14:textId="08FE84B1" w:rsidR="7BB1BBDF" w:rsidRDefault="7BB1BBDF" w:rsidP="59801B34">
            <w:pPr>
              <w:pStyle w:val="TableRow"/>
              <w:rPr>
                <w:b/>
                <w:bCs/>
                <w:sz w:val="22"/>
                <w:szCs w:val="22"/>
              </w:rPr>
            </w:pPr>
            <w:r w:rsidRPr="59801B34">
              <w:rPr>
                <w:b/>
                <w:bCs/>
                <w:sz w:val="22"/>
                <w:szCs w:val="22"/>
              </w:rPr>
              <w:t xml:space="preserve">Reading </w:t>
            </w:r>
            <w:r w:rsidR="55591AE1" w:rsidRPr="59801B34">
              <w:rPr>
                <w:b/>
                <w:bCs/>
                <w:sz w:val="22"/>
                <w:szCs w:val="22"/>
              </w:rPr>
              <w:t xml:space="preserve">Intervention </w:t>
            </w:r>
          </w:p>
          <w:p w14:paraId="3F8D635C" w14:textId="58DBFF3F" w:rsidR="5E7DA9CF" w:rsidRDefault="5E7DA9CF" w:rsidP="59801B34">
            <w:pPr>
              <w:pStyle w:val="TableRow"/>
              <w:rPr>
                <w:sz w:val="22"/>
                <w:szCs w:val="22"/>
              </w:rPr>
            </w:pPr>
            <w:r w:rsidRPr="59801B34">
              <w:rPr>
                <w:sz w:val="22"/>
                <w:szCs w:val="22"/>
              </w:rPr>
              <w:t xml:space="preserve">Early </w:t>
            </w:r>
            <w:r w:rsidR="441CFEAB" w:rsidRPr="59801B34">
              <w:rPr>
                <w:sz w:val="22"/>
                <w:szCs w:val="22"/>
              </w:rPr>
              <w:t xml:space="preserve">diagnostic testing of students in Year 7 to identify struggling readers. Students placed in </w:t>
            </w:r>
            <w:r w:rsidR="5A55ED39" w:rsidRPr="59801B34">
              <w:rPr>
                <w:sz w:val="22"/>
                <w:szCs w:val="22"/>
              </w:rPr>
              <w:t>appropriate</w:t>
            </w:r>
            <w:r w:rsidR="441CFEAB" w:rsidRPr="59801B34">
              <w:rPr>
                <w:sz w:val="22"/>
                <w:szCs w:val="22"/>
              </w:rPr>
              <w:t xml:space="preserve"> </w:t>
            </w:r>
            <w:r w:rsidR="5F20C47D" w:rsidRPr="59801B34">
              <w:rPr>
                <w:sz w:val="22"/>
                <w:szCs w:val="22"/>
              </w:rPr>
              <w:t>interventions</w:t>
            </w:r>
            <w:r w:rsidR="441CFEAB" w:rsidRPr="59801B34">
              <w:rPr>
                <w:sz w:val="22"/>
                <w:szCs w:val="22"/>
              </w:rPr>
              <w:t xml:space="preserve"> </w:t>
            </w:r>
            <w:r w:rsidR="220E7B9F" w:rsidRPr="59801B34">
              <w:rPr>
                <w:sz w:val="22"/>
                <w:szCs w:val="22"/>
              </w:rPr>
              <w:t xml:space="preserve">within the five-tier programme </w:t>
            </w:r>
            <w:r w:rsidR="441CFEAB" w:rsidRPr="59801B34">
              <w:rPr>
                <w:sz w:val="22"/>
                <w:szCs w:val="22"/>
              </w:rPr>
              <w:t>to me</w:t>
            </w:r>
            <w:r w:rsidR="0E11B6FF" w:rsidRPr="59801B34">
              <w:rPr>
                <w:sz w:val="22"/>
                <w:szCs w:val="22"/>
              </w:rPr>
              <w:t>et their reading needs</w:t>
            </w:r>
            <w:r w:rsidR="7C7F5DD0" w:rsidRPr="59801B34">
              <w:rPr>
                <w:sz w:val="22"/>
                <w:szCs w:val="22"/>
              </w:rPr>
              <w:t xml:space="preserve">. Rapid progress is </w:t>
            </w:r>
            <w:r w:rsidR="7C7F5DD0" w:rsidRPr="59801B34">
              <w:rPr>
                <w:sz w:val="22"/>
                <w:szCs w:val="22"/>
              </w:rPr>
              <w:lastRenderedPageBreak/>
              <w:t xml:space="preserve">monitored through termly testing and regular QA </w:t>
            </w:r>
          </w:p>
          <w:p w14:paraId="7F0AF3EC" w14:textId="7DD9A04F" w:rsidR="59801B34" w:rsidRDefault="59801B34" w:rsidP="59801B34">
            <w:pPr>
              <w:pStyle w:val="TableRow"/>
              <w:rPr>
                <w:sz w:val="22"/>
                <w:szCs w:val="22"/>
              </w:rPr>
            </w:pPr>
          </w:p>
          <w:p w14:paraId="35C9B47D" w14:textId="3009DE9A" w:rsidR="59801B34" w:rsidRDefault="59801B34" w:rsidP="59801B34">
            <w:pPr>
              <w:pStyle w:val="TableRow"/>
              <w:rPr>
                <w:sz w:val="22"/>
                <w:szCs w:val="22"/>
              </w:rPr>
            </w:pPr>
          </w:p>
          <w:p w14:paraId="55904716" w14:textId="357D6989" w:rsidR="59801B34" w:rsidRDefault="59801B34" w:rsidP="59801B34">
            <w:pPr>
              <w:pStyle w:val="TableRow"/>
              <w:rPr>
                <w:sz w:val="22"/>
                <w:szCs w:val="22"/>
              </w:rPr>
            </w:pPr>
          </w:p>
          <w:p w14:paraId="63048860" w14:textId="08C52DFD" w:rsidR="59801B34" w:rsidRDefault="59801B34" w:rsidP="59801B34">
            <w:pPr>
              <w:pStyle w:val="TableRow"/>
              <w:rPr>
                <w:sz w:val="22"/>
                <w:szCs w:val="22"/>
              </w:rPr>
            </w:pPr>
          </w:p>
          <w:p w14:paraId="63388F82" w14:textId="330072CB" w:rsidR="59801B34" w:rsidRDefault="59801B34" w:rsidP="59801B34">
            <w:pPr>
              <w:pStyle w:val="TableRow"/>
              <w:rPr>
                <w:sz w:val="22"/>
                <w:szCs w:val="22"/>
              </w:rPr>
            </w:pPr>
          </w:p>
          <w:p w14:paraId="76B500D6" w14:textId="365F352F" w:rsidR="5A29E8E5" w:rsidRDefault="5A29E8E5" w:rsidP="59801B34">
            <w:pPr>
              <w:spacing w:after="160" w:line="257" w:lineRule="auto"/>
            </w:pPr>
            <w:r w:rsidRPr="59801B34">
              <w:rPr>
                <w:rFonts w:eastAsia="Arial" w:cs="Arial"/>
                <w:b/>
                <w:bCs/>
                <w:color w:val="0D0D0D" w:themeColor="text1" w:themeTint="F2"/>
                <w:u w:val="single"/>
              </w:rPr>
              <w:t>Whole School</w:t>
            </w:r>
          </w:p>
          <w:p w14:paraId="02F4C12B" w14:textId="7701C5AC" w:rsidR="758DC5FE" w:rsidRDefault="758DC5FE" w:rsidP="59801B34">
            <w:pPr>
              <w:spacing w:after="160" w:line="257" w:lineRule="auto"/>
              <w:rPr>
                <w:rFonts w:eastAsia="Arial" w:cs="Arial"/>
                <w:b/>
                <w:bCs/>
                <w:color w:val="0D0D0D" w:themeColor="text1" w:themeTint="F2"/>
                <w:u w:val="single"/>
              </w:rPr>
            </w:pPr>
            <w:r w:rsidRPr="59801B34">
              <w:rPr>
                <w:rFonts w:eastAsia="Arial" w:cs="Arial"/>
                <w:b/>
                <w:bCs/>
                <w:color w:val="0D0D0D" w:themeColor="text1" w:themeTint="F2"/>
                <w:u w:val="single"/>
              </w:rPr>
              <w:t>Developing a love for reading</w:t>
            </w:r>
          </w:p>
          <w:p w14:paraId="52F54E60" w14:textId="1A5B78B3" w:rsidR="6E42FF05" w:rsidRDefault="6E42FF05" w:rsidP="59801B34">
            <w:pPr>
              <w:spacing w:after="160" w:line="257" w:lineRule="auto"/>
            </w:pPr>
            <w:r w:rsidRPr="59801B34">
              <w:rPr>
                <w:rFonts w:eastAsia="Arial" w:cs="Arial"/>
              </w:rPr>
              <w:t xml:space="preserve">Form time readers in Year 7, Year 8, Year 9 and Year 10. 30 minutes each week dedicated to shared reading in form time. Prosody modelled to support students in developing their own internal prosody, their reading fluency, word reading accuracy and comprehension.  </w:t>
            </w:r>
          </w:p>
          <w:p w14:paraId="4028D326" w14:textId="769FEFF9" w:rsidR="011E715F" w:rsidRDefault="011E715F" w:rsidP="59801B34">
            <w:pPr>
              <w:pStyle w:val="TableRow"/>
              <w:ind w:left="0"/>
              <w:rPr>
                <w:b/>
                <w:bCs/>
                <w:sz w:val="22"/>
                <w:szCs w:val="22"/>
                <w:u w:val="single"/>
              </w:rPr>
            </w:pPr>
            <w:r w:rsidRPr="59801B34">
              <w:rPr>
                <w:b/>
                <w:bCs/>
                <w:sz w:val="22"/>
                <w:szCs w:val="22"/>
                <w:u w:val="single"/>
              </w:rPr>
              <w:t xml:space="preserve">Whole School – Supporting Struggling Readers </w:t>
            </w:r>
            <w:r w:rsidR="26BC83EC" w:rsidRPr="59801B34">
              <w:rPr>
                <w:b/>
                <w:bCs/>
                <w:sz w:val="22"/>
                <w:szCs w:val="22"/>
                <w:u w:val="single"/>
              </w:rPr>
              <w:t xml:space="preserve">across the curriculum </w:t>
            </w:r>
          </w:p>
          <w:p w14:paraId="56E5E809" w14:textId="19027374" w:rsidR="59801B34" w:rsidRDefault="59801B34" w:rsidP="59801B34">
            <w:pPr>
              <w:pStyle w:val="TableRow"/>
              <w:ind w:left="0"/>
              <w:rPr>
                <w:sz w:val="22"/>
                <w:szCs w:val="22"/>
              </w:rPr>
            </w:pPr>
          </w:p>
          <w:p w14:paraId="12C1DD71" w14:textId="4172D6B2" w:rsidR="011E715F" w:rsidRDefault="011E715F" w:rsidP="59801B34">
            <w:pPr>
              <w:spacing w:after="0"/>
              <w:rPr>
                <w:rFonts w:ascii="ar" w:eastAsia="ar" w:hAnsi="ar" w:cs="ar"/>
                <w:color w:val="0D0D0D" w:themeColor="text1" w:themeTint="F2"/>
                <w:lang w:val="en-US"/>
              </w:rPr>
            </w:pPr>
            <w:r w:rsidRPr="59801B34">
              <w:rPr>
                <w:rFonts w:ascii="ar" w:eastAsia="ar" w:hAnsi="ar" w:cs="ar"/>
                <w:color w:val="0D0D0D" w:themeColor="text1" w:themeTint="F2"/>
              </w:rPr>
              <w:t xml:space="preserve">Reading strategies shared in CPD sessions are </w:t>
            </w:r>
            <w:r w:rsidRPr="59801B34">
              <w:rPr>
                <w:rFonts w:ascii="ar" w:eastAsia="ar" w:hAnsi="ar" w:cs="ar"/>
              </w:rPr>
              <w:t xml:space="preserve">evident across the curriculum and can be seen in Curriculum Handbooks, lesson visits, </w:t>
            </w:r>
            <w:r w:rsidRPr="59801B34">
              <w:rPr>
                <w:rFonts w:ascii="ar" w:eastAsia="ar" w:hAnsi="ar" w:cs="ar"/>
              </w:rPr>
              <w:lastRenderedPageBreak/>
              <w:t xml:space="preserve">work scrutiny and student voice. </w:t>
            </w:r>
            <w:r w:rsidRPr="59801B34">
              <w:rPr>
                <w:rFonts w:ascii="ar" w:eastAsia="ar" w:hAnsi="ar" w:cs="ar"/>
                <w:color w:val="0D0D0D" w:themeColor="text1" w:themeTint="F2"/>
                <w:lang w:val="en-US"/>
              </w:rPr>
              <w:t xml:space="preserve"> </w:t>
            </w:r>
          </w:p>
          <w:p w14:paraId="10B4E1BC" w14:textId="166FE8FC" w:rsidR="59801B34" w:rsidRDefault="59801B34" w:rsidP="59801B34">
            <w:pPr>
              <w:spacing w:after="0"/>
              <w:rPr>
                <w:rFonts w:ascii="ar" w:eastAsia="ar" w:hAnsi="ar" w:cs="ar"/>
                <w:color w:val="0D0D0D" w:themeColor="text1" w:themeTint="F2"/>
                <w:lang w:val="en-US"/>
              </w:rPr>
            </w:pPr>
          </w:p>
          <w:p w14:paraId="169A67AE" w14:textId="61C548DF" w:rsidR="011E715F" w:rsidRDefault="011E715F" w:rsidP="59801B34">
            <w:pPr>
              <w:spacing w:after="0"/>
              <w:rPr>
                <w:rFonts w:ascii="ar" w:eastAsia="ar" w:hAnsi="ar" w:cs="ar"/>
                <w:color w:val="0D0D0D" w:themeColor="text1" w:themeTint="F2"/>
                <w:lang w:val="en-US"/>
              </w:rPr>
            </w:pPr>
            <w:r w:rsidRPr="59801B34">
              <w:rPr>
                <w:rFonts w:ascii="ar" w:eastAsia="ar" w:hAnsi="ar" w:cs="ar"/>
                <w:color w:val="0D0D0D" w:themeColor="text1" w:themeTint="F2"/>
              </w:rPr>
              <w:t>Struggling reader information, strategies and support is shared through the Struggling Readers Booklet. All staff aware of who their struggling readers are and how best to support them in their classroom</w:t>
            </w:r>
            <w:r w:rsidRPr="59801B34">
              <w:rPr>
                <w:rFonts w:ascii="ar" w:eastAsia="ar" w:hAnsi="ar" w:cs="ar"/>
                <w:color w:val="0D0D0D" w:themeColor="text1" w:themeTint="F2"/>
                <w:lang w:val="en-US"/>
              </w:rPr>
              <w:t xml:space="preserve"> </w:t>
            </w:r>
          </w:p>
          <w:p w14:paraId="12CC8BD3" w14:textId="0454B11E" w:rsidR="011E715F" w:rsidRDefault="011E715F" w:rsidP="59801B34">
            <w:pPr>
              <w:spacing w:after="0"/>
              <w:rPr>
                <w:rFonts w:ascii="ar" w:eastAsia="ar" w:hAnsi="ar" w:cs="ar"/>
                <w:color w:val="0D0D0D" w:themeColor="text1" w:themeTint="F2"/>
              </w:rPr>
            </w:pPr>
            <w:r w:rsidRPr="59801B34">
              <w:rPr>
                <w:rFonts w:ascii="ar" w:eastAsia="ar" w:hAnsi="ar" w:cs="ar"/>
                <w:color w:val="0D0D0D" w:themeColor="text1" w:themeTint="F2"/>
              </w:rPr>
              <w:t xml:space="preserve"> </w:t>
            </w:r>
          </w:p>
          <w:p w14:paraId="34203E5C" w14:textId="51C0F2CB" w:rsidR="011E715F" w:rsidRDefault="011E715F" w:rsidP="59801B34">
            <w:pPr>
              <w:spacing w:after="0"/>
              <w:rPr>
                <w:rFonts w:ascii="ar" w:eastAsia="ar" w:hAnsi="ar" w:cs="ar"/>
                <w:color w:val="0D0D0D" w:themeColor="text1" w:themeTint="F2"/>
                <w:lang w:val="en-US"/>
              </w:rPr>
            </w:pPr>
            <w:r w:rsidRPr="59801B34">
              <w:rPr>
                <w:rFonts w:ascii="ar" w:eastAsia="ar" w:hAnsi="ar" w:cs="ar"/>
                <w:color w:val="0D0D0D" w:themeColor="text1" w:themeTint="F2"/>
              </w:rPr>
              <w:t xml:space="preserve">CPD on disciplinary literacy – EFF’s The Six Strands of Reading and </w:t>
            </w:r>
            <w:proofErr w:type="spellStart"/>
            <w:r w:rsidRPr="59801B34">
              <w:rPr>
                <w:rFonts w:ascii="ar" w:eastAsia="ar" w:hAnsi="ar" w:cs="ar"/>
                <w:color w:val="0D0D0D" w:themeColor="text1" w:themeTint="F2"/>
              </w:rPr>
              <w:t>Oracy</w:t>
            </w:r>
            <w:proofErr w:type="spellEnd"/>
            <w:r w:rsidRPr="59801B34">
              <w:rPr>
                <w:rFonts w:ascii="ar" w:eastAsia="ar" w:hAnsi="ar" w:cs="ar"/>
                <w:color w:val="0D0D0D" w:themeColor="text1" w:themeTint="F2"/>
              </w:rPr>
              <w:t xml:space="preserve"> must be </w:t>
            </w:r>
            <w:r w:rsidRPr="59801B34">
              <w:rPr>
                <w:rFonts w:ascii="ar" w:eastAsia="ar" w:hAnsi="ar" w:cs="ar"/>
              </w:rPr>
              <w:t>evidenced in Curriculum Handbooks, lesson visits, student voice</w:t>
            </w:r>
            <w:r w:rsidRPr="59801B34">
              <w:rPr>
                <w:rFonts w:ascii="ar" w:eastAsia="ar" w:hAnsi="ar" w:cs="ar"/>
                <w:color w:val="0D0D0D" w:themeColor="text1" w:themeTint="F2"/>
                <w:lang w:val="en-US"/>
              </w:rPr>
              <w:t xml:space="preserve"> </w:t>
            </w:r>
          </w:p>
          <w:p w14:paraId="17EDC5EB" w14:textId="3AA519BF" w:rsidR="59801B34" w:rsidRDefault="59801B34" w:rsidP="59801B34">
            <w:pPr>
              <w:spacing w:after="0"/>
              <w:rPr>
                <w:rFonts w:ascii="ar" w:eastAsia="ar" w:hAnsi="ar" w:cs="ar"/>
                <w:color w:val="0D0D0D" w:themeColor="text1" w:themeTint="F2"/>
                <w:lang w:val="en-US"/>
              </w:rPr>
            </w:pPr>
          </w:p>
          <w:p w14:paraId="58CEE164" w14:textId="02F4F24B" w:rsidR="66F293B4" w:rsidRDefault="66F293B4" w:rsidP="59801B34">
            <w:pPr>
              <w:spacing w:after="160" w:line="257" w:lineRule="auto"/>
            </w:pPr>
            <w:r w:rsidRPr="59801B34">
              <w:rPr>
                <w:rFonts w:eastAsia="Arial" w:cs="Arial"/>
                <w:b/>
                <w:bCs/>
                <w:color w:val="0D0D0D" w:themeColor="text1" w:themeTint="F2"/>
                <w:u w:val="single"/>
                <w:lang w:val="en-US"/>
              </w:rPr>
              <w:t xml:space="preserve">English Department </w:t>
            </w:r>
          </w:p>
          <w:p w14:paraId="524F85F4" w14:textId="4508F029" w:rsidR="66F293B4" w:rsidRDefault="66F293B4" w:rsidP="59801B34">
            <w:pPr>
              <w:spacing w:after="160" w:line="257" w:lineRule="auto"/>
            </w:pPr>
            <w:r w:rsidRPr="59801B34">
              <w:rPr>
                <w:rFonts w:eastAsia="Arial" w:cs="Arial"/>
                <w:color w:val="0D0D0D" w:themeColor="text1" w:themeTint="F2"/>
                <w:lang w:val="en-US"/>
              </w:rPr>
              <w:t xml:space="preserve">Weekly reading lessons for all students in KS3. New format to reading lessons to ensure explicit teaching of discrete reading skills. Explicit teaching of vocabulary to </w:t>
            </w:r>
            <w:r w:rsidRPr="59801B34">
              <w:rPr>
                <w:rFonts w:eastAsia="Arial" w:cs="Arial"/>
                <w:color w:val="0D0D0D" w:themeColor="text1" w:themeTint="F2"/>
                <w:lang w:val="en-US"/>
              </w:rPr>
              <w:lastRenderedPageBreak/>
              <w:t xml:space="preserve">support the acquisition of new vocabulary and reading comprehension tasks at the start of every reading lesson. Consistency of delivery is ensured through high quality reading booklets. </w:t>
            </w:r>
          </w:p>
          <w:p w14:paraId="284B4158" w14:textId="2FAEF347" w:rsidR="66F293B4" w:rsidRDefault="66F293B4" w:rsidP="59801B34">
            <w:pPr>
              <w:spacing w:after="160" w:line="257" w:lineRule="auto"/>
            </w:pPr>
            <w:r w:rsidRPr="59801B34">
              <w:rPr>
                <w:rFonts w:eastAsia="Arial" w:cs="Arial"/>
                <w:color w:val="0D0D0D" w:themeColor="text1" w:themeTint="F2"/>
                <w:lang w:val="en-US"/>
              </w:rPr>
              <w:t xml:space="preserve">English staff support and monitor reading progress in weekly reading lessons. Specific focus on increasing the volume of reading which is monitored through Accelerated Reading </w:t>
            </w:r>
            <w:proofErr w:type="spellStart"/>
            <w:r w:rsidRPr="59801B34">
              <w:rPr>
                <w:rFonts w:eastAsia="Arial" w:cs="Arial"/>
                <w:color w:val="0D0D0D" w:themeColor="text1" w:themeTint="F2"/>
                <w:lang w:val="en-US"/>
              </w:rPr>
              <w:t>Programme</w:t>
            </w:r>
            <w:proofErr w:type="spellEnd"/>
            <w:r w:rsidRPr="59801B34">
              <w:rPr>
                <w:rFonts w:eastAsia="Arial" w:cs="Arial"/>
                <w:color w:val="0D0D0D" w:themeColor="text1" w:themeTint="F2"/>
                <w:lang w:val="en-US"/>
              </w:rPr>
              <w:t xml:space="preserve"> and promoted through the Word Millionaire Competition. SLT Literacy Lead monitors reading data and word counts shared twice every half term. </w:t>
            </w:r>
          </w:p>
          <w:p w14:paraId="4C0BBC77" w14:textId="0814C8D7" w:rsidR="66F293B4" w:rsidRDefault="66F293B4" w:rsidP="59801B34">
            <w:pPr>
              <w:spacing w:after="160" w:line="257" w:lineRule="auto"/>
            </w:pPr>
            <w:r w:rsidRPr="59801B34">
              <w:rPr>
                <w:rFonts w:eastAsia="Arial" w:cs="Arial"/>
                <w:color w:val="0D0D0D" w:themeColor="text1" w:themeTint="F2"/>
                <w:lang w:val="en-US"/>
              </w:rPr>
              <w:t xml:space="preserve">Monitor all reading data for their classes and put in place appropriate intervention where needed and offer referrals where </w:t>
            </w:r>
            <w:r w:rsidRPr="59801B34">
              <w:rPr>
                <w:rFonts w:eastAsia="Arial" w:cs="Arial"/>
                <w:color w:val="0D0D0D" w:themeColor="text1" w:themeTint="F2"/>
                <w:lang w:val="en-US"/>
              </w:rPr>
              <w:lastRenderedPageBreak/>
              <w:t>there are concerns</w:t>
            </w:r>
          </w:p>
          <w:p w14:paraId="0A81D5DF" w14:textId="54293C8D" w:rsidR="66F293B4" w:rsidRDefault="66F293B4" w:rsidP="59801B34">
            <w:pPr>
              <w:spacing w:after="160" w:line="257" w:lineRule="auto"/>
            </w:pPr>
            <w:r w:rsidRPr="59801B34">
              <w:rPr>
                <w:rFonts w:eastAsia="Arial" w:cs="Arial"/>
                <w:color w:val="0D0D0D" w:themeColor="text1" w:themeTint="F2"/>
                <w:lang w:val="en-US"/>
              </w:rPr>
              <w:t xml:space="preserve">Accountable reading in KS3 to support the reading of novels  </w:t>
            </w:r>
          </w:p>
          <w:p w14:paraId="2C2F06EA" w14:textId="6A22AC97" w:rsidR="66F293B4" w:rsidRDefault="66F293B4" w:rsidP="59801B34">
            <w:pPr>
              <w:spacing w:after="160" w:line="257" w:lineRule="auto"/>
            </w:pPr>
            <w:r w:rsidRPr="59801B34">
              <w:rPr>
                <w:rFonts w:eastAsia="Arial" w:cs="Arial"/>
                <w:color w:val="0D0D0D" w:themeColor="text1" w:themeTint="F2"/>
                <w:lang w:val="en-US"/>
              </w:rPr>
              <w:t xml:space="preserve">KS4 weekly reading tasks as part of homework </w:t>
            </w:r>
          </w:p>
          <w:p w14:paraId="49EA9034" w14:textId="109C90F2" w:rsidR="66F293B4" w:rsidRDefault="66F293B4" w:rsidP="59801B34">
            <w:pPr>
              <w:spacing w:after="160" w:line="257" w:lineRule="auto"/>
            </w:pPr>
            <w:r w:rsidRPr="59801B34">
              <w:rPr>
                <w:rFonts w:eastAsia="Arial" w:cs="Arial"/>
                <w:color w:val="0D0D0D" w:themeColor="text1" w:themeTint="F2"/>
                <w:lang w:val="en-US"/>
              </w:rPr>
              <w:t>Explicit teaching of subject specific vocabulary. Teaching of vocabulary carefully mapped into the curriculum.</w:t>
            </w:r>
          </w:p>
          <w:p w14:paraId="22114C91" w14:textId="4B64F5C2" w:rsidR="59801B34" w:rsidRDefault="59801B34" w:rsidP="59801B34">
            <w:pPr>
              <w:spacing w:after="0"/>
              <w:rPr>
                <w:rFonts w:ascii="ar" w:eastAsia="ar" w:hAnsi="ar" w:cs="ar"/>
                <w:color w:val="0D0D0D" w:themeColor="text1" w:themeTint="F2"/>
                <w:lang w:val="en-US"/>
              </w:rPr>
            </w:pPr>
          </w:p>
          <w:p w14:paraId="107FFC22" w14:textId="52C0E162" w:rsidR="59801B34" w:rsidRDefault="59801B34" w:rsidP="59801B34">
            <w:pPr>
              <w:spacing w:after="0"/>
              <w:rPr>
                <w:rFonts w:ascii="ar" w:eastAsia="ar" w:hAnsi="ar" w:cs="ar"/>
                <w:color w:val="0D0D0D" w:themeColor="text1" w:themeTint="F2"/>
              </w:rPr>
            </w:pPr>
          </w:p>
          <w:p w14:paraId="012332AD" w14:textId="436EE682" w:rsidR="59801B34" w:rsidRDefault="59801B34" w:rsidP="59801B34">
            <w:pPr>
              <w:pStyle w:val="TableRow"/>
              <w:ind w:left="0"/>
              <w:rPr>
                <w:sz w:val="22"/>
                <w:szCs w:val="22"/>
              </w:rPr>
            </w:pPr>
          </w:p>
        </w:tc>
        <w:tc>
          <w:tcPr>
            <w:tcW w:w="6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CE32D" w14:textId="5504E9A4" w:rsidR="59801B34" w:rsidRDefault="59801B34" w:rsidP="59801B34">
            <w:pPr>
              <w:spacing w:after="160" w:line="257" w:lineRule="auto"/>
              <w:jc w:val="center"/>
              <w:rPr>
                <w:rFonts w:eastAsia="Arial" w:cs="Arial"/>
                <w:sz w:val="22"/>
                <w:szCs w:val="22"/>
              </w:rPr>
            </w:pPr>
            <w:r w:rsidRPr="59801B34">
              <w:rPr>
                <w:rFonts w:eastAsia="Arial" w:cs="Arial"/>
                <w:sz w:val="22"/>
                <w:szCs w:val="22"/>
              </w:rPr>
              <w:lastRenderedPageBreak/>
              <w:t xml:space="preserve"> Our Literacy Development Team works closely with the SEND Department to ensure the literacy needs of our students are identified and effectively targeted through the use of direct, explicit and systematic fluency, vocabulary and comprehension instruction. </w:t>
            </w:r>
            <w:r w:rsidR="25C5A4BD" w:rsidRPr="59801B34">
              <w:rPr>
                <w:rFonts w:eastAsia="Arial" w:cs="Arial"/>
                <w:sz w:val="22"/>
                <w:szCs w:val="22"/>
              </w:rPr>
              <w:t xml:space="preserve">The 5 Tier Intervention programme (see below) has been designed using research </w:t>
            </w:r>
            <w:r w:rsidR="74F1687A" w:rsidRPr="59801B34">
              <w:rPr>
                <w:rFonts w:eastAsia="Arial" w:cs="Arial"/>
                <w:sz w:val="22"/>
                <w:szCs w:val="22"/>
              </w:rPr>
              <w:t xml:space="preserve">and recommendations </w:t>
            </w:r>
            <w:r w:rsidR="25C5A4BD" w:rsidRPr="59801B34">
              <w:rPr>
                <w:rFonts w:eastAsia="Arial" w:cs="Arial"/>
                <w:sz w:val="22"/>
                <w:szCs w:val="22"/>
              </w:rPr>
              <w:t>from the EFF’s ‘Improving Literacy in S</w:t>
            </w:r>
            <w:r w:rsidR="6D52A103" w:rsidRPr="59801B34">
              <w:rPr>
                <w:rFonts w:eastAsia="Arial" w:cs="Arial"/>
                <w:sz w:val="22"/>
                <w:szCs w:val="22"/>
              </w:rPr>
              <w:t>econdary Schools’ and the infl</w:t>
            </w:r>
            <w:r w:rsidR="4774C075" w:rsidRPr="59801B34">
              <w:rPr>
                <w:rFonts w:eastAsia="Arial" w:cs="Arial"/>
                <w:sz w:val="22"/>
                <w:szCs w:val="22"/>
              </w:rPr>
              <w:t xml:space="preserve">uential work of Murphy and Murphy ‘Thinking Reading’. </w:t>
            </w:r>
          </w:p>
          <w:p w14:paraId="57E8F0E2" w14:textId="26821267" w:rsidR="404D51EB" w:rsidRDefault="404D51EB" w:rsidP="59801B34">
            <w:pPr>
              <w:spacing w:after="160" w:line="257" w:lineRule="auto"/>
              <w:jc w:val="center"/>
            </w:pPr>
            <w:r>
              <w:rPr>
                <w:noProof/>
              </w:rPr>
              <w:lastRenderedPageBreak/>
              <w:drawing>
                <wp:inline distT="0" distB="0" distL="0" distR="0" wp14:anchorId="42E945DB" wp14:editId="52BF0CBD">
                  <wp:extent cx="3934223" cy="2838704"/>
                  <wp:effectExtent l="0" t="0" r="0" b="0"/>
                  <wp:docPr id="2098515747" name="Picture 209851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t="17222"/>
                          <a:stretch>
                            <a:fillRect/>
                          </a:stretch>
                        </pic:blipFill>
                        <pic:spPr>
                          <a:xfrm>
                            <a:off x="0" y="0"/>
                            <a:ext cx="3934223" cy="2838704"/>
                          </a:xfrm>
                          <a:prstGeom prst="rect">
                            <a:avLst/>
                          </a:prstGeom>
                        </pic:spPr>
                      </pic:pic>
                    </a:graphicData>
                  </a:graphic>
                </wp:inline>
              </w:drawing>
            </w:r>
          </w:p>
          <w:p w14:paraId="52E7D43B" w14:textId="24401357" w:rsidR="25C5A4BD" w:rsidRDefault="25C5A4BD" w:rsidP="59801B34">
            <w:pPr>
              <w:spacing w:after="160" w:line="257" w:lineRule="auto"/>
              <w:jc w:val="center"/>
              <w:rPr>
                <w:rFonts w:eastAsia="Arial" w:cs="Arial"/>
                <w:sz w:val="22"/>
                <w:szCs w:val="22"/>
              </w:rPr>
            </w:pPr>
            <w:r w:rsidRPr="59801B34">
              <w:rPr>
                <w:rFonts w:eastAsia="Arial" w:cs="Arial"/>
                <w:sz w:val="22"/>
                <w:szCs w:val="22"/>
              </w:rPr>
              <w:t xml:space="preserve">We recognise that literacy is the essential foundation of education and developing </w:t>
            </w:r>
            <w:r w:rsidR="79121C59" w:rsidRPr="59801B34">
              <w:rPr>
                <w:rFonts w:eastAsia="Arial" w:cs="Arial"/>
                <w:sz w:val="22"/>
                <w:szCs w:val="22"/>
              </w:rPr>
              <w:t xml:space="preserve">students’ competence for </w:t>
            </w:r>
            <w:r w:rsidRPr="59801B34">
              <w:rPr>
                <w:rFonts w:eastAsia="Arial" w:cs="Arial"/>
                <w:sz w:val="22"/>
                <w:szCs w:val="22"/>
              </w:rPr>
              <w:t xml:space="preserve">reading is one of the most effective ways to raise attainment. Research from EFF’s ‘Improving Literacy in Secondary Schools’ tells us that reading for pleasure is the single biggest factor in success in later life. Study after study has shown that those children who read for pleasure are the ones who are most likely to fulfil their ambitions. Therefore, our aim at Bedford is that every student, regardless of their starting point, becomes a fluent and confident reader who understands the importance of reading on their future lives.  </w:t>
            </w:r>
          </w:p>
          <w:p w14:paraId="3B12B8D4" w14:textId="188741EE" w:rsidR="59801B34" w:rsidRDefault="59801B34" w:rsidP="59801B34">
            <w:pPr>
              <w:spacing w:after="160" w:line="257" w:lineRule="auto"/>
              <w:jc w:val="center"/>
              <w:rPr>
                <w:rFonts w:eastAsia="Arial" w:cs="Arial"/>
                <w:sz w:val="22"/>
                <w:szCs w:val="22"/>
              </w:rPr>
            </w:pPr>
          </w:p>
          <w:p w14:paraId="2CDEE636" w14:textId="7FE1896D" w:rsidR="59801B34" w:rsidRDefault="59801B34" w:rsidP="59801B34">
            <w:pPr>
              <w:spacing w:after="160" w:line="257" w:lineRule="auto"/>
              <w:jc w:val="center"/>
              <w:rPr>
                <w:rFonts w:eastAsia="Arial" w:cs="Arial"/>
                <w:sz w:val="22"/>
                <w:szCs w:val="22"/>
              </w:rPr>
            </w:pPr>
          </w:p>
          <w:p w14:paraId="37D1D9B5" w14:textId="42E87EE8" w:rsidR="59801B34" w:rsidRDefault="59801B34" w:rsidP="59801B34">
            <w:pPr>
              <w:spacing w:after="160" w:line="257" w:lineRule="auto"/>
              <w:jc w:val="center"/>
              <w:rPr>
                <w:rFonts w:eastAsia="Arial" w:cs="Arial"/>
                <w:sz w:val="22"/>
                <w:szCs w:val="22"/>
              </w:rPr>
            </w:pPr>
          </w:p>
          <w:p w14:paraId="2A8D047C" w14:textId="5C9CA697" w:rsidR="59801B34" w:rsidRDefault="59801B34" w:rsidP="59801B34">
            <w:pPr>
              <w:spacing w:after="160" w:line="257" w:lineRule="auto"/>
              <w:jc w:val="center"/>
              <w:rPr>
                <w:rFonts w:eastAsia="Arial" w:cs="Arial"/>
                <w:sz w:val="22"/>
                <w:szCs w:val="22"/>
              </w:rPr>
            </w:pPr>
          </w:p>
          <w:p w14:paraId="14514BD0" w14:textId="713B22AA" w:rsidR="59801B34" w:rsidRDefault="59801B34" w:rsidP="59801B34">
            <w:pPr>
              <w:spacing w:after="160" w:line="257" w:lineRule="auto"/>
              <w:jc w:val="center"/>
              <w:rPr>
                <w:rFonts w:eastAsia="Arial" w:cs="Arial"/>
                <w:sz w:val="22"/>
                <w:szCs w:val="22"/>
              </w:rPr>
            </w:pPr>
          </w:p>
          <w:p w14:paraId="4D0534BA" w14:textId="07E0087A" w:rsidR="59801B34" w:rsidRDefault="59801B34" w:rsidP="59801B34">
            <w:pPr>
              <w:spacing w:after="160" w:line="257" w:lineRule="auto"/>
              <w:jc w:val="center"/>
              <w:rPr>
                <w:rFonts w:eastAsia="Arial" w:cs="Arial"/>
                <w:sz w:val="22"/>
                <w:szCs w:val="22"/>
              </w:rPr>
            </w:pPr>
          </w:p>
          <w:p w14:paraId="71BDF154" w14:textId="1295E793" w:rsidR="59801B34" w:rsidRDefault="59801B34" w:rsidP="59801B34">
            <w:pPr>
              <w:spacing w:after="160" w:line="257" w:lineRule="auto"/>
              <w:jc w:val="center"/>
              <w:rPr>
                <w:rFonts w:eastAsia="Arial" w:cs="Arial"/>
                <w:sz w:val="22"/>
                <w:szCs w:val="22"/>
              </w:rPr>
            </w:pPr>
          </w:p>
          <w:p w14:paraId="50B266C3" w14:textId="37377F33" w:rsidR="59801B34" w:rsidRDefault="59801B34" w:rsidP="59801B34">
            <w:pPr>
              <w:spacing w:after="160" w:line="257" w:lineRule="auto"/>
              <w:jc w:val="center"/>
              <w:rPr>
                <w:rFonts w:eastAsia="Arial" w:cs="Arial"/>
                <w:sz w:val="22"/>
                <w:szCs w:val="22"/>
              </w:rPr>
            </w:pPr>
          </w:p>
          <w:p w14:paraId="077657EF" w14:textId="5C737F4F" w:rsidR="59801B34" w:rsidRDefault="59801B34" w:rsidP="59801B34">
            <w:pPr>
              <w:spacing w:after="160" w:line="257" w:lineRule="auto"/>
              <w:jc w:val="center"/>
              <w:rPr>
                <w:rFonts w:eastAsia="Arial" w:cs="Arial"/>
                <w:sz w:val="22"/>
                <w:szCs w:val="22"/>
              </w:rPr>
            </w:pPr>
          </w:p>
          <w:p w14:paraId="4451932E" w14:textId="657EC5DF" w:rsidR="59801B34" w:rsidRDefault="59801B34" w:rsidP="59801B34">
            <w:pPr>
              <w:spacing w:after="160" w:line="257" w:lineRule="auto"/>
              <w:jc w:val="center"/>
              <w:rPr>
                <w:rFonts w:eastAsia="Arial" w:cs="Arial"/>
                <w:sz w:val="22"/>
                <w:szCs w:val="22"/>
              </w:rPr>
            </w:pPr>
          </w:p>
          <w:p w14:paraId="4DF5842D" w14:textId="63B8B82A" w:rsidR="59801B34" w:rsidRDefault="59801B34" w:rsidP="59801B34">
            <w:pPr>
              <w:spacing w:after="160" w:line="257" w:lineRule="auto"/>
              <w:jc w:val="center"/>
              <w:rPr>
                <w:rFonts w:eastAsia="Arial" w:cs="Arial"/>
                <w:sz w:val="22"/>
                <w:szCs w:val="22"/>
              </w:rPr>
            </w:pPr>
          </w:p>
          <w:p w14:paraId="018347FA" w14:textId="65B6747A" w:rsidR="59801B34" w:rsidRDefault="59801B34" w:rsidP="59801B34">
            <w:pPr>
              <w:spacing w:after="160" w:line="257" w:lineRule="auto"/>
              <w:jc w:val="center"/>
              <w:rPr>
                <w:rFonts w:eastAsia="Arial" w:cs="Arial"/>
                <w:sz w:val="22"/>
                <w:szCs w:val="22"/>
              </w:rPr>
            </w:pPr>
          </w:p>
          <w:p w14:paraId="40250C4A" w14:textId="0D20A05B" w:rsidR="333C7BC0" w:rsidRDefault="333C7BC0" w:rsidP="59801B34">
            <w:pPr>
              <w:spacing w:after="160" w:line="257" w:lineRule="auto"/>
              <w:jc w:val="center"/>
              <w:rPr>
                <w:rFonts w:eastAsia="Arial" w:cs="Arial"/>
                <w:sz w:val="22"/>
                <w:szCs w:val="22"/>
              </w:rPr>
            </w:pPr>
            <w:r w:rsidRPr="59801B34">
              <w:rPr>
                <w:rFonts w:eastAsia="Arial" w:cs="Arial"/>
                <w:sz w:val="22"/>
                <w:szCs w:val="22"/>
              </w:rPr>
              <w:t>EFF’s Six Strands of Reading used to inform whole school CPD</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CC7CED" w14:textId="0BC71E77" w:rsidR="4C0FB501" w:rsidRDefault="4C0FB501" w:rsidP="59801B34">
            <w:pPr>
              <w:pStyle w:val="TableRowCentered"/>
              <w:jc w:val="left"/>
              <w:rPr>
                <w:sz w:val="22"/>
                <w:szCs w:val="22"/>
              </w:rPr>
            </w:pPr>
            <w:r w:rsidRPr="59801B34">
              <w:rPr>
                <w:sz w:val="22"/>
                <w:szCs w:val="22"/>
              </w:rPr>
              <w:lastRenderedPageBreak/>
              <w:t>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9486" w:type="dxa"/>
        <w:tblCellMar>
          <w:left w:w="10" w:type="dxa"/>
          <w:right w:w="10" w:type="dxa"/>
        </w:tblCellMar>
        <w:tblLook w:val="04A0" w:firstRow="1" w:lastRow="0" w:firstColumn="1" w:lastColumn="0" w:noHBand="0" w:noVBand="1"/>
      </w:tblPr>
      <w:tblGrid>
        <w:gridCol w:w="3600"/>
        <w:gridCol w:w="3342"/>
        <w:gridCol w:w="2544"/>
      </w:tblGrid>
      <w:tr w:rsidR="00E66558" w14:paraId="2A7D5528" w14:textId="77777777" w:rsidTr="59801B34">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30" w14:textId="77777777" w:rsidTr="59801B34">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86E70" w14:textId="2C2C0A57" w:rsidR="00E66558" w:rsidRDefault="0348CAA4" w:rsidP="59801B34">
            <w:pPr>
              <w:pStyle w:val="TableRow"/>
              <w:ind w:left="0" w:right="0"/>
              <w:rPr>
                <w:i/>
                <w:iCs/>
                <w:sz w:val="22"/>
                <w:szCs w:val="22"/>
              </w:rPr>
            </w:pPr>
            <w:r w:rsidRPr="59801B34">
              <w:rPr>
                <w:i/>
                <w:iCs/>
                <w:sz w:val="22"/>
                <w:szCs w:val="22"/>
              </w:rPr>
              <w:t xml:space="preserve">Reading intervention </w:t>
            </w:r>
          </w:p>
          <w:p w14:paraId="6DF749AA" w14:textId="40399804" w:rsidR="00E66558" w:rsidRDefault="00E66558" w:rsidP="59801B34">
            <w:pPr>
              <w:spacing w:after="160" w:line="257" w:lineRule="auto"/>
              <w:rPr>
                <w:rFonts w:eastAsia="Arial" w:cs="Arial"/>
              </w:rPr>
            </w:pPr>
          </w:p>
          <w:p w14:paraId="07325826" w14:textId="7983BC2A" w:rsidR="00E66558" w:rsidRDefault="082C4C7B" w:rsidP="59801B34">
            <w:pPr>
              <w:spacing w:after="160" w:line="257" w:lineRule="auto"/>
            </w:pPr>
            <w:r w:rsidRPr="59801B34">
              <w:rPr>
                <w:rFonts w:eastAsia="Arial" w:cs="Arial"/>
              </w:rPr>
              <w:t xml:space="preserve">In the first weeks of September, KS2 SATs data is used to identify students who may require reading support in KS3. KS2 SATs Reading 2024 data reveals that 65 students (27% of Year 7 cohort) have not achieved the expected standard in reading. 24 of these students are PP. This is in line with the national picture. </w:t>
            </w:r>
            <w:r w:rsidRPr="59801B34">
              <w:rPr>
                <w:rFonts w:eastAsia="Arial" w:cs="Arial"/>
              </w:rPr>
              <w:lastRenderedPageBreak/>
              <w:t>Diagnostic testing is used to identify specific reading needs of these students. Every child who failed to reach expected standard in KS2 Reading undertakes a running record test and a Salford Reading Test to assess their word recognition, fluency and comprehension skills. Where necessary, a further Sounds-Write tested is conducted. Students are then tested through Renaissance Place’s Star Reading Programme. The data from this testing allows us to identify any further students who may require additional reading support. Once this process is completed, we have our Struggling Readers list and each student is placed into the appropriate reading intervention specifically designed to address their specific reading needs. All of these students then sit a further two reading tests to ensure we have an accurate reading age starting point which allows us to monitor their progress accurately.</w:t>
            </w:r>
          </w:p>
          <w:p w14:paraId="0B8664CF" w14:textId="7E473824" w:rsidR="00E66558" w:rsidRDefault="2371CF18" w:rsidP="59801B34">
            <w:pPr>
              <w:spacing w:after="160" w:line="257" w:lineRule="auto"/>
            </w:pPr>
            <w:r w:rsidRPr="59801B34">
              <w:rPr>
                <w:rFonts w:eastAsia="Arial" w:cs="Arial"/>
              </w:rPr>
              <w:t xml:space="preserve">The Sounds-Write programme is delivered by 2 qualified members of staff. Intervention time for Sounds-Write has increased in this academic to 3 hours weekly for those requiring urgent reading support. This will ensure rapid improvement for our weakest readers.  </w:t>
            </w:r>
          </w:p>
          <w:p w14:paraId="1A1563CC" w14:textId="7B9CE623" w:rsidR="00E66558" w:rsidRDefault="2371CF18" w:rsidP="59801B34">
            <w:pPr>
              <w:spacing w:after="160" w:line="257" w:lineRule="auto"/>
            </w:pPr>
            <w:r w:rsidRPr="59801B34">
              <w:rPr>
                <w:rFonts w:eastAsia="Arial" w:cs="Arial"/>
              </w:rPr>
              <w:t xml:space="preserve">Students requiring the next stage of phonics learning will receive GROW intervention led by our Interventions Officer and our Literacy Manager. Training will be delivered to our new </w:t>
            </w:r>
            <w:r w:rsidRPr="59801B34">
              <w:rPr>
                <w:rFonts w:eastAsia="Arial" w:cs="Arial"/>
              </w:rPr>
              <w:lastRenderedPageBreak/>
              <w:t xml:space="preserve">members of the Literacy Team in the first term to increase intervention expertise and capacity. </w:t>
            </w:r>
          </w:p>
          <w:p w14:paraId="3FD0A6D4" w14:textId="7802D761" w:rsidR="00E66558" w:rsidRDefault="2371CF18" w:rsidP="59801B34">
            <w:pPr>
              <w:spacing w:after="160" w:line="257" w:lineRule="auto"/>
            </w:pPr>
            <w:r w:rsidRPr="59801B34">
              <w:rPr>
                <w:rFonts w:eastAsia="Arial" w:cs="Arial"/>
              </w:rPr>
              <w:t xml:space="preserve">Reciprocal Reading is delivered by the Literacy Team and 4 trained LSAs and continues to be developed by the Literacy Manager and the Director of Learning overseeing reading intervention. </w:t>
            </w:r>
          </w:p>
          <w:p w14:paraId="06638330" w14:textId="1615CBE2" w:rsidR="00E66558" w:rsidRDefault="2371CF18" w:rsidP="59801B34">
            <w:pPr>
              <w:spacing w:after="160" w:line="257" w:lineRule="auto"/>
            </w:pPr>
            <w:r w:rsidRPr="59801B34">
              <w:rPr>
                <w:rFonts w:eastAsia="Arial" w:cs="Arial"/>
              </w:rPr>
              <w:t xml:space="preserve">Forensic Reading was launched last year with a small cohort of students who have graduated from Reciprocal Reading. The capacity for delivering this intervention has increased this academic year with two new members of staff now fully trained. </w:t>
            </w:r>
          </w:p>
          <w:p w14:paraId="18F324B4" w14:textId="0487AAEF" w:rsidR="00E66558" w:rsidRDefault="2371CF18" w:rsidP="59801B34">
            <w:pPr>
              <w:spacing w:after="160" w:line="257" w:lineRule="auto"/>
            </w:pPr>
            <w:r w:rsidRPr="59801B34">
              <w:rPr>
                <w:rFonts w:eastAsia="Arial" w:cs="Arial"/>
              </w:rPr>
              <w:t>Book clubs – once students have graduated to tier 5, students will join dedicated book clubs to develop a love for reading and continue on their reading journey.</w:t>
            </w:r>
          </w:p>
          <w:p w14:paraId="7C822253" w14:textId="146B18C8" w:rsidR="00E66558" w:rsidRDefault="00E66558" w:rsidP="59801B34">
            <w:pPr>
              <w:spacing w:after="160" w:line="257" w:lineRule="auto"/>
              <w:rPr>
                <w:rFonts w:eastAsia="Arial" w:cs="Arial"/>
              </w:rPr>
            </w:pPr>
          </w:p>
          <w:p w14:paraId="2A7D552D" w14:textId="5CBF020B" w:rsidR="00E66558" w:rsidRDefault="00E66558" w:rsidP="59801B34">
            <w:pPr>
              <w:pStyle w:val="TableRow"/>
              <w:ind w:left="0" w:right="0"/>
              <w:rPr>
                <w:i/>
                <w:iCs/>
                <w:sz w:val="22"/>
                <w:szCs w:val="22"/>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4FD12" w14:textId="27D07741" w:rsidR="00E66558" w:rsidRDefault="082C4C7B" w:rsidP="59801B34">
            <w:pPr>
              <w:spacing w:before="60" w:after="60"/>
              <w:ind w:left="57" w:right="57"/>
            </w:pPr>
            <w:r w:rsidRPr="59801B34">
              <w:rPr>
                <w:rFonts w:eastAsia="Arial" w:cs="Arial"/>
                <w:color w:val="000000" w:themeColor="text1"/>
              </w:rPr>
              <w:lastRenderedPageBreak/>
              <w:t xml:space="preserve">Gorse Academy Trust – Forensic Reading </w:t>
            </w:r>
          </w:p>
          <w:p w14:paraId="75D61695" w14:textId="62DBAA88" w:rsidR="00E66558" w:rsidRDefault="00E66558" w:rsidP="59801B34">
            <w:pPr>
              <w:spacing w:before="60" w:after="60"/>
              <w:ind w:left="57" w:right="57"/>
              <w:rPr>
                <w:rFonts w:eastAsia="Arial" w:cs="Arial"/>
                <w:color w:val="000000" w:themeColor="text1"/>
              </w:rPr>
            </w:pPr>
          </w:p>
          <w:p w14:paraId="6F3479EE" w14:textId="15A9EB44" w:rsidR="00E66558" w:rsidRDefault="082C4C7B" w:rsidP="59801B34">
            <w:pPr>
              <w:spacing w:before="60" w:after="60"/>
              <w:ind w:left="57" w:right="57"/>
              <w:rPr>
                <w:rFonts w:eastAsia="Arial" w:cs="Arial"/>
                <w:color w:val="000000" w:themeColor="text1"/>
              </w:rPr>
            </w:pPr>
            <w:r w:rsidRPr="59801B34">
              <w:rPr>
                <w:rFonts w:eastAsia="Arial" w:cs="Arial"/>
                <w:color w:val="000000" w:themeColor="text1"/>
              </w:rPr>
              <w:t xml:space="preserve">Murphy and Murphy ‘Thinking Reading’ </w:t>
            </w:r>
          </w:p>
          <w:p w14:paraId="2D07DBC2" w14:textId="18CDBA9C" w:rsidR="00E66558" w:rsidRDefault="00E66558" w:rsidP="59801B34">
            <w:pPr>
              <w:spacing w:before="60" w:after="60"/>
              <w:ind w:left="57" w:right="57"/>
              <w:rPr>
                <w:rFonts w:eastAsia="Arial" w:cs="Arial"/>
                <w:color w:val="000000" w:themeColor="text1"/>
              </w:rPr>
            </w:pPr>
          </w:p>
          <w:p w14:paraId="53F0A74E" w14:textId="47EF7604" w:rsidR="00E66558" w:rsidRDefault="082C4C7B" w:rsidP="59801B34">
            <w:pPr>
              <w:spacing w:before="60" w:after="60"/>
              <w:ind w:left="57" w:right="57"/>
              <w:rPr>
                <w:rFonts w:eastAsia="Arial" w:cs="Arial"/>
                <w:color w:val="000000" w:themeColor="text1"/>
              </w:rPr>
            </w:pPr>
            <w:r w:rsidRPr="59801B34">
              <w:rPr>
                <w:rFonts w:eastAsia="Arial" w:cs="Arial"/>
                <w:color w:val="000000" w:themeColor="text1"/>
              </w:rPr>
              <w:t xml:space="preserve">EFF Improving Literacy in Secondary Schools </w:t>
            </w:r>
          </w:p>
          <w:p w14:paraId="057C7D64" w14:textId="25B0B2D9" w:rsidR="00E66558" w:rsidRDefault="082C4C7B" w:rsidP="59801B34">
            <w:pPr>
              <w:spacing w:before="60" w:after="60"/>
              <w:ind w:right="57"/>
            </w:pPr>
            <w:r w:rsidRPr="59801B34">
              <w:rPr>
                <w:rFonts w:eastAsia="Arial" w:cs="Arial"/>
                <w:color w:val="0D0D0D" w:themeColor="text1" w:themeTint="F2"/>
                <w:sz w:val="22"/>
                <w:szCs w:val="22"/>
              </w:rPr>
              <w:t xml:space="preserve"> </w:t>
            </w:r>
          </w:p>
          <w:p w14:paraId="72A7F2CD" w14:textId="26283E53" w:rsidR="00E66558" w:rsidRDefault="082C4C7B" w:rsidP="59801B34">
            <w:pPr>
              <w:spacing w:before="60" w:after="60"/>
              <w:ind w:left="57" w:right="57"/>
            </w:pPr>
            <w:r w:rsidRPr="59801B34">
              <w:rPr>
                <w:rFonts w:eastAsia="Arial" w:cs="Arial"/>
                <w:color w:val="0D0D0D" w:themeColor="text1" w:themeTint="F2"/>
              </w:rPr>
              <w:lastRenderedPageBreak/>
              <w:t>University of Durham study (2011)</w:t>
            </w:r>
          </w:p>
          <w:p w14:paraId="028407B2" w14:textId="592261FD" w:rsidR="00E66558" w:rsidRDefault="082C4C7B" w:rsidP="59801B34">
            <w:pPr>
              <w:spacing w:before="60" w:after="60"/>
              <w:ind w:left="57" w:right="57"/>
            </w:pPr>
            <w:r w:rsidRPr="59801B34">
              <w:rPr>
                <w:rFonts w:eastAsia="Arial" w:cs="Arial"/>
                <w:color w:val="0D0D0D" w:themeColor="text1" w:themeTint="F2"/>
              </w:rPr>
              <w:t xml:space="preserve"> </w:t>
            </w:r>
          </w:p>
          <w:p w14:paraId="71EE6600" w14:textId="4D5DD2E4" w:rsidR="00E66558" w:rsidRDefault="082C4C7B" w:rsidP="59801B34">
            <w:pPr>
              <w:spacing w:before="60" w:after="60"/>
              <w:ind w:left="57" w:right="57"/>
            </w:pPr>
            <w:r w:rsidRPr="59801B34">
              <w:rPr>
                <w:rFonts w:eastAsia="Arial" w:cs="Arial"/>
                <w:color w:val="0D0D0D" w:themeColor="text1" w:themeTint="F2"/>
              </w:rPr>
              <w:t xml:space="preserve">Tullis &amp; Goldstone (2020) </w:t>
            </w:r>
          </w:p>
          <w:p w14:paraId="36AE6E29" w14:textId="5D45CCA7" w:rsidR="00E66558" w:rsidRDefault="082C4C7B" w:rsidP="59801B34">
            <w:pPr>
              <w:spacing w:before="60" w:after="60"/>
              <w:ind w:left="57" w:right="57"/>
            </w:pPr>
            <w:r w:rsidRPr="59801B34">
              <w:rPr>
                <w:rFonts w:eastAsia="Arial" w:cs="Arial"/>
                <w:color w:val="0D0D0D" w:themeColor="text1" w:themeTint="F2"/>
              </w:rPr>
              <w:t xml:space="preserve"> </w:t>
            </w:r>
          </w:p>
          <w:p w14:paraId="2A7D552E" w14:textId="577D3259" w:rsidR="00E66558" w:rsidRDefault="082C4C7B" w:rsidP="00C31636">
            <w:pPr>
              <w:pStyle w:val="TableRowCentered"/>
              <w:ind w:left="0" w:right="0"/>
              <w:jc w:val="left"/>
            </w:pPr>
            <w:r w:rsidRPr="59801B34">
              <w:rPr>
                <w:rFonts w:eastAsia="Arial" w:cs="Arial"/>
                <w:color w:val="000000" w:themeColor="text1"/>
                <w:szCs w:val="24"/>
              </w:rPr>
              <w:t>EEF T&amp;L Toolkit Reading – very high impact for very low cost)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6E50B6A" w:rsidR="00E66558" w:rsidRDefault="71E8FD9F" w:rsidP="59801B34">
            <w:pPr>
              <w:pStyle w:val="TableRowCentered"/>
              <w:ind w:left="0" w:right="0"/>
              <w:jc w:val="left"/>
              <w:rPr>
                <w:sz w:val="22"/>
                <w:szCs w:val="22"/>
              </w:rPr>
            </w:pPr>
            <w:r w:rsidRPr="59801B34">
              <w:rPr>
                <w:sz w:val="22"/>
                <w:szCs w:val="22"/>
              </w:rPr>
              <w:lastRenderedPageBreak/>
              <w:t>2</w:t>
            </w:r>
          </w:p>
        </w:tc>
      </w:tr>
      <w:tr w:rsidR="59801B34" w14:paraId="106DE03E" w14:textId="77777777" w:rsidTr="59801B34">
        <w:trPr>
          <w:trHeight w:val="300"/>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346FF" w14:textId="1E043EC3" w:rsidR="4CE6ED59" w:rsidRDefault="4CE6ED59" w:rsidP="59801B34">
            <w:pPr>
              <w:pStyle w:val="TableRow"/>
              <w:rPr>
                <w:i/>
                <w:iCs/>
                <w:sz w:val="22"/>
                <w:szCs w:val="22"/>
              </w:rPr>
            </w:pPr>
            <w:r w:rsidRPr="59801B34">
              <w:rPr>
                <w:i/>
                <w:iCs/>
                <w:sz w:val="22"/>
                <w:szCs w:val="22"/>
              </w:rPr>
              <w:lastRenderedPageBreak/>
              <w:t xml:space="preserve">Numeracy intervention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4AB72" w14:textId="16CEA69D" w:rsidR="59801B34" w:rsidRDefault="59801B34" w:rsidP="59801B34">
            <w:pPr>
              <w:rPr>
                <w:rFonts w:eastAsia="Arial" w:cs="Arial"/>
                <w:color w:val="000000" w:themeColor="text1"/>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E66FD" w14:textId="1843EDE1" w:rsidR="59801B34" w:rsidRDefault="59801B34" w:rsidP="59801B34">
            <w:pPr>
              <w:pStyle w:val="TableRowCentered"/>
              <w:jc w:val="left"/>
              <w:rPr>
                <w:sz w:val="22"/>
                <w:szCs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9486" w:type="dxa"/>
        <w:tblCellMar>
          <w:left w:w="10" w:type="dxa"/>
          <w:right w:w="10" w:type="dxa"/>
        </w:tblCellMar>
        <w:tblLook w:val="04A0" w:firstRow="1" w:lastRow="0" w:firstColumn="1" w:lastColumn="0" w:noHBand="0" w:noVBand="1"/>
      </w:tblPr>
      <w:tblGrid>
        <w:gridCol w:w="3510"/>
        <w:gridCol w:w="3432"/>
        <w:gridCol w:w="2544"/>
      </w:tblGrid>
      <w:tr w:rsidR="00E66558" w14:paraId="2A7D5537" w14:textId="77777777" w:rsidTr="59801B3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59801B3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3EAB0B6" w:rsidR="00E66558" w:rsidRDefault="1D6077E2" w:rsidP="59801B34">
            <w:pPr>
              <w:pStyle w:val="TableRow"/>
              <w:ind w:left="0" w:right="0"/>
              <w:rPr>
                <w:i/>
                <w:iCs/>
                <w:sz w:val="22"/>
                <w:szCs w:val="22"/>
              </w:rPr>
            </w:pPr>
            <w:r w:rsidRPr="59801B34">
              <w:rPr>
                <w:i/>
                <w:iCs/>
                <w:sz w:val="22"/>
                <w:szCs w:val="22"/>
              </w:rPr>
              <w:t>Support to enrich the Cultural and Social capital.</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77777777" w:rsidR="00E66558" w:rsidRDefault="00E66558" w:rsidP="00C31636">
            <w:pPr>
              <w:pStyle w:val="TableRowCentered"/>
              <w:ind w:left="0" w:right="0"/>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7777777" w:rsidR="00E66558" w:rsidRDefault="00E66558" w:rsidP="00C31636">
            <w:pPr>
              <w:pStyle w:val="TableRowCentered"/>
              <w:ind w:left="0" w:right="0"/>
              <w:jc w:val="left"/>
              <w:rPr>
                <w:sz w:val="22"/>
              </w:rPr>
            </w:pPr>
          </w:p>
        </w:tc>
      </w:tr>
      <w:tr w:rsidR="00E66558" w14:paraId="2A7D553F" w14:textId="77777777" w:rsidTr="59801B34">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5AFB3" w14:textId="236AF02B" w:rsidR="00E66558" w:rsidRDefault="1C796602" w:rsidP="59801B34">
            <w:pPr>
              <w:pStyle w:val="TableRow"/>
              <w:ind w:left="0" w:right="0"/>
              <w:rPr>
                <w:i/>
                <w:iCs/>
              </w:rPr>
            </w:pPr>
            <w:r w:rsidRPr="59801B34">
              <w:rPr>
                <w:i/>
                <w:iCs/>
              </w:rPr>
              <w:t xml:space="preserve">Attendance </w:t>
            </w:r>
          </w:p>
          <w:p w14:paraId="3B44E6A5" w14:textId="2DEEB154" w:rsidR="00E66558" w:rsidRDefault="1D3B51FF" w:rsidP="59801B34">
            <w:pPr>
              <w:pStyle w:val="TableRow"/>
              <w:ind w:left="0" w:right="0"/>
              <w:rPr>
                <w:i/>
                <w:iCs/>
              </w:rPr>
            </w:pPr>
            <w:r w:rsidRPr="59801B34">
              <w:rPr>
                <w:i/>
                <w:iCs/>
              </w:rPr>
              <w:t xml:space="preserve">RAP – Y11 linking attendance and attainment. Team around the cohort approach to ensure </w:t>
            </w:r>
            <w:r w:rsidRPr="59801B34">
              <w:rPr>
                <w:i/>
                <w:iCs/>
              </w:rPr>
              <w:lastRenderedPageBreak/>
              <w:t xml:space="preserve">rapid intervention is implemented </w:t>
            </w:r>
            <w:r w:rsidR="1DAAB289" w:rsidRPr="59801B34">
              <w:rPr>
                <w:i/>
                <w:iCs/>
              </w:rPr>
              <w:t>to improve attendance to school, preparation for assessments and attendance to exams.</w:t>
            </w:r>
          </w:p>
          <w:p w14:paraId="4677AD74" w14:textId="57BA9584" w:rsidR="00E66558" w:rsidRDefault="1DAAB289" w:rsidP="59801B34">
            <w:pPr>
              <w:pStyle w:val="TableRow"/>
              <w:ind w:left="0" w:right="0"/>
              <w:rPr>
                <w:i/>
                <w:iCs/>
              </w:rPr>
            </w:pPr>
            <w:r w:rsidRPr="59801B34">
              <w:rPr>
                <w:i/>
                <w:iCs/>
              </w:rPr>
              <w:t>RAP – Y10 to be introduced in HT2</w:t>
            </w:r>
          </w:p>
          <w:p w14:paraId="6DEAAEDD" w14:textId="116FB38B" w:rsidR="00E66558" w:rsidRDefault="1DAAB289" w:rsidP="59801B34">
            <w:pPr>
              <w:pStyle w:val="TableRow"/>
              <w:ind w:left="0" w:right="0"/>
              <w:rPr>
                <w:i/>
                <w:iCs/>
              </w:rPr>
            </w:pPr>
            <w:r w:rsidRPr="59801B34">
              <w:rPr>
                <w:i/>
                <w:iCs/>
              </w:rPr>
              <w:t>Dedicated attendance staff linked to Y10 and Y11</w:t>
            </w:r>
          </w:p>
          <w:p w14:paraId="03A9A764" w14:textId="1B43545B" w:rsidR="00E66558" w:rsidRDefault="1DAAB289" w:rsidP="59801B34">
            <w:pPr>
              <w:pStyle w:val="TableRow"/>
              <w:ind w:left="0" w:right="0"/>
              <w:rPr>
                <w:i/>
                <w:iCs/>
              </w:rPr>
            </w:pPr>
            <w:r w:rsidRPr="59801B34">
              <w:rPr>
                <w:i/>
                <w:iCs/>
              </w:rPr>
              <w:t>EBSA officer appointed with a focus on &lt;50% and those at risk of SA.</w:t>
            </w:r>
          </w:p>
          <w:p w14:paraId="459F410E" w14:textId="1A2CF7BB" w:rsidR="00E66558" w:rsidRDefault="1DAAB289" w:rsidP="59801B34">
            <w:pPr>
              <w:pStyle w:val="TableRow"/>
              <w:ind w:left="0" w:right="0"/>
              <w:rPr>
                <w:i/>
                <w:iCs/>
              </w:rPr>
            </w:pPr>
            <w:r w:rsidRPr="59801B34">
              <w:rPr>
                <w:i/>
                <w:iCs/>
              </w:rPr>
              <w:t xml:space="preserve">Reset Intervention </w:t>
            </w:r>
          </w:p>
          <w:p w14:paraId="40B6A23D" w14:textId="29849062" w:rsidR="00E66558" w:rsidRDefault="1DAAB289" w:rsidP="59801B34">
            <w:pPr>
              <w:pStyle w:val="TableRow"/>
              <w:ind w:left="0" w:right="0"/>
              <w:rPr>
                <w:i/>
                <w:iCs/>
              </w:rPr>
            </w:pPr>
            <w:r w:rsidRPr="59801B34">
              <w:rPr>
                <w:i/>
                <w:iCs/>
              </w:rPr>
              <w:t xml:space="preserve">Increased capacity for </w:t>
            </w:r>
          </w:p>
          <w:p w14:paraId="2A7D553C" w14:textId="2408632B" w:rsidR="00E66558" w:rsidRDefault="1DAAB289" w:rsidP="59801B34">
            <w:pPr>
              <w:pStyle w:val="TableRow"/>
              <w:ind w:left="0" w:right="0"/>
              <w:rPr>
                <w:i/>
                <w:iCs/>
              </w:rPr>
            </w:pPr>
            <w:r w:rsidRPr="59801B34">
              <w:rPr>
                <w:i/>
                <w:iCs/>
              </w:rPr>
              <w:t>Early Help intervention</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666D" w14:textId="2BA22ED5" w:rsidR="00E66558" w:rsidRDefault="00E66558" w:rsidP="59801B34">
            <w:pPr>
              <w:pStyle w:val="TableRowCentered"/>
              <w:ind w:left="0" w:right="0"/>
              <w:jc w:val="left"/>
              <w:rPr>
                <w:szCs w:val="24"/>
              </w:rPr>
            </w:pPr>
          </w:p>
          <w:p w14:paraId="330373D2" w14:textId="4A45FF96" w:rsidR="00E66558" w:rsidRDefault="1DAAB289" w:rsidP="59801B34">
            <w:pPr>
              <w:pStyle w:val="TableRowCentered"/>
              <w:ind w:left="0" w:right="0"/>
              <w:jc w:val="left"/>
              <w:rPr>
                <w:szCs w:val="24"/>
              </w:rPr>
            </w:pPr>
            <w:r w:rsidRPr="59801B34">
              <w:rPr>
                <w:szCs w:val="24"/>
              </w:rPr>
              <w:t xml:space="preserve">2024 exam data evidenced a significant improvement to exam attendance. U codes </w:t>
            </w:r>
            <w:r w:rsidRPr="59801B34">
              <w:rPr>
                <w:szCs w:val="24"/>
              </w:rPr>
              <w:lastRenderedPageBreak/>
              <w:t>were also dramatically reduced</w:t>
            </w:r>
            <w:r w:rsidR="28A69A7D" w:rsidRPr="59801B34">
              <w:rPr>
                <w:szCs w:val="24"/>
              </w:rPr>
              <w:t xml:space="preserve"> as a result. </w:t>
            </w:r>
          </w:p>
          <w:p w14:paraId="2EA115C0" w14:textId="1C452D7E" w:rsidR="00E66558" w:rsidRDefault="00E66558" w:rsidP="59801B34">
            <w:pPr>
              <w:pStyle w:val="TableRowCentered"/>
              <w:ind w:left="0" w:right="0"/>
              <w:jc w:val="left"/>
              <w:rPr>
                <w:szCs w:val="24"/>
              </w:rPr>
            </w:pPr>
          </w:p>
          <w:p w14:paraId="78EF3357" w14:textId="0EC0F865" w:rsidR="00E66558" w:rsidRDefault="00E66558" w:rsidP="59801B34">
            <w:pPr>
              <w:pStyle w:val="TableRowCentered"/>
              <w:ind w:left="0" w:right="0"/>
              <w:jc w:val="left"/>
              <w:rPr>
                <w:szCs w:val="24"/>
              </w:rPr>
            </w:pPr>
          </w:p>
          <w:p w14:paraId="2F4FAA8E" w14:textId="3E137877" w:rsidR="00E66558" w:rsidRDefault="00E66558" w:rsidP="59801B34">
            <w:pPr>
              <w:pStyle w:val="TableRowCentered"/>
              <w:ind w:left="0" w:right="0"/>
              <w:jc w:val="left"/>
              <w:rPr>
                <w:szCs w:val="24"/>
              </w:rPr>
            </w:pPr>
          </w:p>
          <w:p w14:paraId="1CE6E189" w14:textId="1543E71F" w:rsidR="00E66558" w:rsidRDefault="00E66558" w:rsidP="59801B34">
            <w:pPr>
              <w:pStyle w:val="TableRowCentered"/>
              <w:ind w:left="0" w:right="0"/>
              <w:jc w:val="left"/>
              <w:rPr>
                <w:szCs w:val="24"/>
              </w:rPr>
            </w:pPr>
          </w:p>
          <w:p w14:paraId="54A36A40" w14:textId="37B082A9" w:rsidR="00E66558" w:rsidRDefault="28A69A7D" w:rsidP="59801B34">
            <w:pPr>
              <w:pStyle w:val="TableRowCentered"/>
              <w:ind w:left="0" w:right="0"/>
              <w:jc w:val="left"/>
              <w:rPr>
                <w:szCs w:val="24"/>
              </w:rPr>
            </w:pPr>
            <w:r w:rsidRPr="59801B34">
              <w:rPr>
                <w:szCs w:val="24"/>
              </w:rPr>
              <w:t>EBSA interventions from 2024 led to a reduction in SA – lower than LA average.</w:t>
            </w:r>
          </w:p>
          <w:p w14:paraId="4F80127A" w14:textId="022F21F7" w:rsidR="00E66558" w:rsidRDefault="00E66558" w:rsidP="59801B34">
            <w:pPr>
              <w:pStyle w:val="TableRowCentered"/>
              <w:ind w:left="0" w:right="0"/>
              <w:jc w:val="left"/>
              <w:rPr>
                <w:szCs w:val="24"/>
              </w:rPr>
            </w:pPr>
          </w:p>
          <w:p w14:paraId="7F50BCA9" w14:textId="3B9C1868" w:rsidR="00E66558" w:rsidRDefault="00E66558" w:rsidP="59801B34">
            <w:pPr>
              <w:pStyle w:val="TableRowCentered"/>
              <w:ind w:left="0" w:right="0"/>
              <w:jc w:val="left"/>
              <w:rPr>
                <w:szCs w:val="24"/>
              </w:rPr>
            </w:pPr>
          </w:p>
          <w:p w14:paraId="2A7D553D" w14:textId="46CD5418" w:rsidR="00E66558" w:rsidRDefault="28A69A7D" w:rsidP="59801B34">
            <w:pPr>
              <w:pStyle w:val="TableRowCentered"/>
              <w:ind w:left="0" w:right="0"/>
              <w:jc w:val="left"/>
              <w:rPr>
                <w:szCs w:val="24"/>
              </w:rPr>
            </w:pPr>
            <w:r w:rsidRPr="59801B34">
              <w:rPr>
                <w:szCs w:val="24"/>
              </w:rPr>
              <w:t xml:space="preserve">2024 Early Help intervention helped to reduce the number of cases escalating to social care / enforcement.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77777777" w:rsidR="00E66558" w:rsidRDefault="00E66558" w:rsidP="00C31636">
            <w:pPr>
              <w:pStyle w:val="TableRowCentered"/>
              <w:ind w:left="0" w:right="0"/>
              <w:jc w:val="left"/>
              <w:rPr>
                <w:sz w:val="22"/>
              </w:rPr>
            </w:pPr>
          </w:p>
        </w:tc>
      </w:tr>
      <w:tr w:rsidR="59801B34" w14:paraId="1BAD5564" w14:textId="77777777" w:rsidTr="59801B34">
        <w:trPr>
          <w:trHeight w:val="30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20635" w14:textId="4E0C54D5" w:rsidR="1C796602" w:rsidRDefault="1C796602" w:rsidP="59801B34">
            <w:pPr>
              <w:pStyle w:val="TableRow"/>
              <w:rPr>
                <w:i/>
                <w:iCs/>
                <w:sz w:val="22"/>
                <w:szCs w:val="22"/>
              </w:rPr>
            </w:pPr>
            <w:r w:rsidRPr="59801B34">
              <w:rPr>
                <w:i/>
                <w:iCs/>
                <w:sz w:val="22"/>
                <w:szCs w:val="22"/>
              </w:rPr>
              <w:t>Responsive Pa</w:t>
            </w:r>
            <w:r w:rsidR="0116D13F" w:rsidRPr="59801B34">
              <w:rPr>
                <w:i/>
                <w:iCs/>
                <w:sz w:val="22"/>
                <w:szCs w:val="22"/>
              </w:rPr>
              <w:t xml:space="preserve">storal system </w:t>
            </w:r>
            <w:r w:rsidRPr="59801B34">
              <w:rPr>
                <w:i/>
                <w:iCs/>
                <w:sz w:val="22"/>
                <w:szCs w:val="22"/>
              </w:rPr>
              <w:t>which identifie</w:t>
            </w:r>
            <w:r w:rsidR="4D53C5BE" w:rsidRPr="59801B34">
              <w:rPr>
                <w:i/>
                <w:iCs/>
                <w:sz w:val="22"/>
                <w:szCs w:val="22"/>
              </w:rPr>
              <w:t>s</w:t>
            </w:r>
            <w:r w:rsidR="47BF6534" w:rsidRPr="59801B34">
              <w:rPr>
                <w:i/>
                <w:iCs/>
                <w:sz w:val="22"/>
                <w:szCs w:val="22"/>
              </w:rPr>
              <w:t xml:space="preserve"> barriers and relevant early intervention. </w:t>
            </w:r>
            <w:r w:rsidR="4D53C5BE" w:rsidRPr="59801B34">
              <w:rPr>
                <w:i/>
                <w:iCs/>
                <w:sz w:val="22"/>
                <w:szCs w:val="22"/>
              </w:rPr>
              <w:t xml:space="preserve"> </w:t>
            </w:r>
          </w:p>
          <w:p w14:paraId="33901E60" w14:textId="0AC178F3" w:rsidR="2F92929C" w:rsidRDefault="2F92929C" w:rsidP="59801B34">
            <w:pPr>
              <w:rPr>
                <w:rFonts w:eastAsia="Arial" w:cs="Arial"/>
                <w:color w:val="000000" w:themeColor="text1"/>
              </w:rPr>
            </w:pPr>
            <w:r w:rsidRPr="59801B34">
              <w:rPr>
                <w:rFonts w:eastAsia="Arial" w:cs="Arial"/>
                <w:color w:val="000000" w:themeColor="text1"/>
              </w:rPr>
              <w:t xml:space="preserve">Individual action plans created for SEMH and PP students struggling to engage at school via </w:t>
            </w:r>
            <w:proofErr w:type="spellStart"/>
            <w:r w:rsidRPr="59801B34">
              <w:rPr>
                <w:rFonts w:eastAsia="Arial" w:cs="Arial"/>
                <w:color w:val="000000" w:themeColor="text1"/>
              </w:rPr>
              <w:t>PiF</w:t>
            </w:r>
            <w:proofErr w:type="spellEnd"/>
            <w:r w:rsidRPr="59801B34">
              <w:rPr>
                <w:rFonts w:eastAsia="Arial" w:cs="Arial"/>
                <w:color w:val="000000" w:themeColor="text1"/>
              </w:rPr>
              <w:t xml:space="preserve"> meetings.</w:t>
            </w:r>
          </w:p>
          <w:p w14:paraId="104FC806" w14:textId="3091239A" w:rsidR="4D450866" w:rsidRDefault="4D450866" w:rsidP="59801B34">
            <w:pPr>
              <w:rPr>
                <w:rFonts w:eastAsia="Arial" w:cs="Arial"/>
                <w:color w:val="000000" w:themeColor="text1"/>
              </w:rPr>
            </w:pPr>
            <w:r w:rsidRPr="59801B34">
              <w:rPr>
                <w:rFonts w:eastAsia="Arial" w:cs="Arial"/>
                <w:color w:val="000000" w:themeColor="text1"/>
              </w:rPr>
              <w:t>Triage Room used as an effective ‘regulation’ room for PP/SEND students who need it</w:t>
            </w:r>
          </w:p>
          <w:p w14:paraId="6ECC9502" w14:textId="6F6F8072" w:rsidR="2F92929C" w:rsidRDefault="2F92929C" w:rsidP="59801B34">
            <w:pPr>
              <w:rPr>
                <w:rFonts w:eastAsia="Arial" w:cs="Arial"/>
                <w:color w:val="000000" w:themeColor="text1"/>
              </w:rPr>
            </w:pPr>
            <w:r w:rsidRPr="59801B34">
              <w:rPr>
                <w:rFonts w:eastAsia="Arial" w:cs="Arial"/>
                <w:color w:val="000000" w:themeColor="text1"/>
              </w:rPr>
              <w:t>Parent/Teacher working groups work to engage parents in</w:t>
            </w:r>
            <w:r w:rsidR="28AE2221" w:rsidRPr="59801B34">
              <w:rPr>
                <w:rFonts w:eastAsia="Arial" w:cs="Arial"/>
                <w:color w:val="000000" w:themeColor="text1"/>
              </w:rPr>
              <w:t xml:space="preserve"> working together</w:t>
            </w:r>
            <w:r w:rsidRPr="59801B34">
              <w:rPr>
                <w:rFonts w:eastAsia="Arial" w:cs="Arial"/>
                <w:color w:val="000000" w:themeColor="text1"/>
              </w:rPr>
              <w:t>, using the model from the cultural cohesion group in 2023.</w:t>
            </w:r>
          </w:p>
          <w:p w14:paraId="6B4B70C5" w14:textId="31FBA9CF" w:rsidR="27480AFD" w:rsidRDefault="27480AFD" w:rsidP="59801B34">
            <w:pPr>
              <w:rPr>
                <w:rFonts w:eastAsia="Arial" w:cs="Arial"/>
                <w:color w:val="000000" w:themeColor="text1"/>
              </w:rPr>
            </w:pPr>
            <w:r w:rsidRPr="59801B34">
              <w:rPr>
                <w:rFonts w:eastAsia="Arial" w:cs="Arial"/>
                <w:color w:val="000000" w:themeColor="text1"/>
              </w:rPr>
              <w:t>The Pastoral in Focus meetings pinpoint the students who need extra support every fortnight with a focus on PP students every 8 weeks.  These sessions also act as extra bespoke training for pastoral colleagues.</w:t>
            </w:r>
            <w:r w:rsidR="363682D7" w:rsidRPr="59801B34">
              <w:rPr>
                <w:rFonts w:eastAsia="Arial" w:cs="Arial"/>
                <w:color w:val="000000" w:themeColor="text1"/>
              </w:rPr>
              <w:t xml:space="preserve"> GC did </w:t>
            </w:r>
            <w:proofErr w:type="gramStart"/>
            <w:r w:rsidR="363682D7" w:rsidRPr="59801B34">
              <w:rPr>
                <w:rFonts w:eastAsia="Arial" w:cs="Arial"/>
                <w:color w:val="000000" w:themeColor="text1"/>
              </w:rPr>
              <w:t>training</w:t>
            </w:r>
            <w:proofErr w:type="gramEnd"/>
            <w:r w:rsidR="363682D7" w:rsidRPr="59801B34">
              <w:rPr>
                <w:rFonts w:eastAsia="Arial" w:cs="Arial"/>
                <w:color w:val="000000" w:themeColor="text1"/>
              </w:rPr>
              <w:t xml:space="preserve"> on ‘Equity for the Under-resourced' on 11/11/24. </w:t>
            </w:r>
            <w:r w:rsidR="363682D7" w:rsidRPr="59801B34">
              <w:rPr>
                <w:rFonts w:eastAsia="Arial" w:cs="Arial"/>
                <w:color w:val="000000" w:themeColor="text1"/>
              </w:rPr>
              <w:lastRenderedPageBreak/>
              <w:t>This training focused on the ty</w:t>
            </w:r>
            <w:r w:rsidR="0133D00C" w:rsidRPr="59801B34">
              <w:rPr>
                <w:rFonts w:eastAsia="Arial" w:cs="Arial"/>
                <w:color w:val="000000" w:themeColor="text1"/>
              </w:rPr>
              <w:t xml:space="preserve">pes of barriers PP students can face and how we can support them. </w:t>
            </w:r>
          </w:p>
          <w:p w14:paraId="25BC398F" w14:textId="00B9F66E" w:rsidR="59801B34" w:rsidRDefault="59801B34" w:rsidP="59801B34">
            <w:pPr>
              <w:rPr>
                <w:rFonts w:eastAsia="Arial" w:cs="Arial"/>
                <w:color w:val="000000" w:themeColor="text1"/>
              </w:rPr>
            </w:pPr>
          </w:p>
          <w:p w14:paraId="6E636400" w14:textId="42EF1E6C" w:rsidR="59801B34" w:rsidRDefault="59801B34" w:rsidP="59801B34">
            <w:pPr>
              <w:rPr>
                <w:rFonts w:eastAsia="Arial" w:cs="Arial"/>
                <w:color w:val="000000" w:themeColor="text1"/>
              </w:rPr>
            </w:pPr>
          </w:p>
          <w:p w14:paraId="72D3D56C" w14:textId="6440F280" w:rsidR="59801B34" w:rsidRDefault="59801B34" w:rsidP="59801B34">
            <w:pPr>
              <w:rPr>
                <w:rFonts w:eastAsia="Arial" w:cs="Arial"/>
                <w:color w:val="000000" w:themeColor="text1"/>
              </w:rPr>
            </w:pPr>
          </w:p>
          <w:p w14:paraId="072551B0" w14:textId="404DA0DB" w:rsidR="777C8EA1" w:rsidRDefault="777C8EA1" w:rsidP="59801B34">
            <w:pPr>
              <w:rPr>
                <w:rFonts w:eastAsia="Arial" w:cs="Arial"/>
                <w:color w:val="000000" w:themeColor="text1"/>
              </w:rPr>
            </w:pPr>
            <w:r w:rsidRPr="59801B34">
              <w:rPr>
                <w:rFonts w:eastAsia="Arial" w:cs="Arial"/>
                <w:color w:val="000000" w:themeColor="text1"/>
              </w:rPr>
              <w:t>Arts and wider extra-curricular promoted at various events</w:t>
            </w:r>
            <w:r w:rsidR="2254C254" w:rsidRPr="59801B34">
              <w:rPr>
                <w:rFonts w:eastAsia="Arial" w:cs="Arial"/>
                <w:color w:val="000000" w:themeColor="text1"/>
              </w:rPr>
              <w:t xml:space="preserve">. </w:t>
            </w:r>
          </w:p>
          <w:p w14:paraId="6F7D5501" w14:textId="67B593D3" w:rsidR="59801B34" w:rsidRDefault="59801B34" w:rsidP="59801B34">
            <w:pPr>
              <w:rPr>
                <w:rFonts w:eastAsia="Arial" w:cs="Arial"/>
                <w:color w:val="000000" w:themeColor="text1"/>
              </w:rPr>
            </w:pPr>
          </w:p>
          <w:p w14:paraId="6BE23C7F" w14:textId="26951655" w:rsidR="59801B34" w:rsidRDefault="59801B34" w:rsidP="59801B34">
            <w:pPr>
              <w:rPr>
                <w:rFonts w:eastAsia="Arial" w:cs="Arial"/>
                <w:color w:val="000000" w:themeColor="text1"/>
              </w:rPr>
            </w:pPr>
          </w:p>
          <w:p w14:paraId="0D5436E5" w14:textId="2A340C04" w:rsidR="696F15A1" w:rsidRDefault="696F15A1" w:rsidP="59801B34">
            <w:pPr>
              <w:rPr>
                <w:rFonts w:eastAsia="Arial" w:cs="Arial"/>
                <w:color w:val="000000" w:themeColor="text1"/>
              </w:rPr>
            </w:pPr>
            <w:r w:rsidRPr="59801B34">
              <w:rPr>
                <w:rFonts w:eastAsia="Arial" w:cs="Arial"/>
                <w:color w:val="000000" w:themeColor="text1"/>
              </w:rPr>
              <w:t>Parental engagement action plan and linked LPPA work</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65B99" w14:textId="3F73DFD3" w:rsidR="59801B34" w:rsidRDefault="59801B34" w:rsidP="59801B34">
            <w:pPr>
              <w:pStyle w:val="TableRowCentered"/>
              <w:jc w:val="left"/>
              <w:rPr>
                <w:sz w:val="22"/>
                <w:szCs w:val="22"/>
              </w:rPr>
            </w:pPr>
          </w:p>
          <w:p w14:paraId="1678546F" w14:textId="3455A684" w:rsidR="59801B34" w:rsidRDefault="59801B34" w:rsidP="59801B34">
            <w:pPr>
              <w:pStyle w:val="TableRowCentered"/>
              <w:jc w:val="left"/>
              <w:rPr>
                <w:sz w:val="22"/>
                <w:szCs w:val="22"/>
              </w:rPr>
            </w:pPr>
          </w:p>
          <w:p w14:paraId="02DDC936" w14:textId="7B764C60" w:rsidR="59801B34" w:rsidRDefault="59801B34" w:rsidP="59801B34">
            <w:pPr>
              <w:pStyle w:val="TableRowCentered"/>
              <w:jc w:val="left"/>
              <w:rPr>
                <w:sz w:val="22"/>
                <w:szCs w:val="22"/>
              </w:rPr>
            </w:pPr>
          </w:p>
          <w:p w14:paraId="1D8E20C0" w14:textId="0EA6374A" w:rsidR="59801B34" w:rsidRDefault="59801B34" w:rsidP="59801B34">
            <w:pPr>
              <w:pStyle w:val="TableRowCentered"/>
              <w:jc w:val="left"/>
              <w:rPr>
                <w:sz w:val="22"/>
                <w:szCs w:val="22"/>
              </w:rPr>
            </w:pPr>
          </w:p>
          <w:p w14:paraId="2F9E3B29" w14:textId="73D5968F" w:rsidR="54135634" w:rsidRDefault="54135634" w:rsidP="59801B34">
            <w:pPr>
              <w:pStyle w:val="TableRowCentered"/>
              <w:jc w:val="left"/>
              <w:rPr>
                <w:sz w:val="22"/>
                <w:szCs w:val="22"/>
              </w:rPr>
            </w:pPr>
            <w:r w:rsidRPr="59801B34">
              <w:rPr>
                <w:sz w:val="22"/>
                <w:szCs w:val="22"/>
              </w:rPr>
              <w:t xml:space="preserve">EEF </w:t>
            </w:r>
            <w:r w:rsidR="59C6B8C0" w:rsidRPr="59801B34">
              <w:rPr>
                <w:sz w:val="22"/>
                <w:szCs w:val="22"/>
              </w:rPr>
              <w:t>identify</w:t>
            </w:r>
            <w:r w:rsidRPr="59801B34">
              <w:rPr>
                <w:sz w:val="22"/>
                <w:szCs w:val="22"/>
              </w:rPr>
              <w:t xml:space="preserve"> that good SEMH and behaviour intervention can impact progress by 4 months</w:t>
            </w:r>
          </w:p>
          <w:p w14:paraId="3A432610" w14:textId="6E844CFA" w:rsidR="59801B34" w:rsidRDefault="59801B34" w:rsidP="59801B34">
            <w:pPr>
              <w:pStyle w:val="TableRowCentered"/>
              <w:jc w:val="left"/>
              <w:rPr>
                <w:sz w:val="22"/>
                <w:szCs w:val="22"/>
              </w:rPr>
            </w:pPr>
          </w:p>
          <w:p w14:paraId="7A4121DD" w14:textId="61F6A248" w:rsidR="59801B34" w:rsidRDefault="59801B34" w:rsidP="59801B34">
            <w:pPr>
              <w:pStyle w:val="TableRowCentered"/>
              <w:jc w:val="left"/>
              <w:rPr>
                <w:sz w:val="22"/>
                <w:szCs w:val="22"/>
              </w:rPr>
            </w:pPr>
          </w:p>
          <w:p w14:paraId="1DAE1C60" w14:textId="6B7C0568" w:rsidR="59801B34" w:rsidRDefault="59801B34" w:rsidP="59801B34">
            <w:pPr>
              <w:pStyle w:val="TableRowCentered"/>
              <w:jc w:val="left"/>
              <w:rPr>
                <w:sz w:val="22"/>
                <w:szCs w:val="22"/>
              </w:rPr>
            </w:pPr>
          </w:p>
          <w:p w14:paraId="767F866F" w14:textId="566FB8F0" w:rsidR="77C3AE0E" w:rsidRDefault="77C3AE0E" w:rsidP="59801B34">
            <w:pPr>
              <w:pStyle w:val="TableRowCentered"/>
              <w:jc w:val="left"/>
              <w:rPr>
                <w:sz w:val="22"/>
                <w:szCs w:val="22"/>
              </w:rPr>
            </w:pPr>
            <w:r w:rsidRPr="59801B34">
              <w:rPr>
                <w:sz w:val="22"/>
                <w:szCs w:val="22"/>
              </w:rPr>
              <w:t>SEMH intervention</w:t>
            </w:r>
          </w:p>
          <w:p w14:paraId="2B05A346" w14:textId="435B854F" w:rsidR="59801B34" w:rsidRDefault="59801B34" w:rsidP="59801B34">
            <w:pPr>
              <w:pStyle w:val="TableRowCentered"/>
              <w:jc w:val="left"/>
              <w:rPr>
                <w:sz w:val="22"/>
                <w:szCs w:val="22"/>
              </w:rPr>
            </w:pPr>
          </w:p>
          <w:p w14:paraId="5BBEB161" w14:textId="4922AEE1" w:rsidR="59801B34" w:rsidRDefault="59801B34" w:rsidP="59801B34">
            <w:pPr>
              <w:pStyle w:val="TableRowCentered"/>
              <w:jc w:val="left"/>
              <w:rPr>
                <w:sz w:val="22"/>
                <w:szCs w:val="22"/>
              </w:rPr>
            </w:pPr>
          </w:p>
          <w:p w14:paraId="1D72671C" w14:textId="6AEA4085" w:rsidR="77C3AE0E" w:rsidRDefault="77C3AE0E" w:rsidP="59801B34">
            <w:pPr>
              <w:pStyle w:val="TableRowCentered"/>
              <w:jc w:val="left"/>
              <w:rPr>
                <w:sz w:val="22"/>
                <w:szCs w:val="22"/>
              </w:rPr>
            </w:pPr>
            <w:r w:rsidRPr="59801B34">
              <w:rPr>
                <w:sz w:val="22"/>
                <w:szCs w:val="22"/>
              </w:rPr>
              <w:t xml:space="preserve">Intervention to engage parents can result in up to 4 months </w:t>
            </w:r>
            <w:r w:rsidR="6359B0DE" w:rsidRPr="59801B34">
              <w:rPr>
                <w:sz w:val="22"/>
                <w:szCs w:val="22"/>
              </w:rPr>
              <w:t>accelerated</w:t>
            </w:r>
            <w:r w:rsidRPr="59801B34">
              <w:rPr>
                <w:sz w:val="22"/>
                <w:szCs w:val="22"/>
              </w:rPr>
              <w:t xml:space="preserve"> progress for a student (EEF)</w:t>
            </w:r>
          </w:p>
          <w:p w14:paraId="0FC3A796" w14:textId="0723E3CA" w:rsidR="59801B34" w:rsidRDefault="59801B34" w:rsidP="59801B34">
            <w:pPr>
              <w:pStyle w:val="TableRowCentered"/>
              <w:jc w:val="left"/>
              <w:rPr>
                <w:sz w:val="22"/>
                <w:szCs w:val="22"/>
              </w:rPr>
            </w:pPr>
          </w:p>
          <w:p w14:paraId="37EF3066" w14:textId="10C582D7" w:rsidR="59801B34" w:rsidRDefault="59801B34" w:rsidP="59801B34">
            <w:pPr>
              <w:pStyle w:val="TableRowCentered"/>
              <w:jc w:val="left"/>
              <w:rPr>
                <w:sz w:val="22"/>
                <w:szCs w:val="22"/>
              </w:rPr>
            </w:pPr>
          </w:p>
          <w:p w14:paraId="47C09FD7" w14:textId="2FC57B01" w:rsidR="59801B34" w:rsidRDefault="59801B34" w:rsidP="59801B34">
            <w:pPr>
              <w:pStyle w:val="TableRowCentered"/>
              <w:jc w:val="left"/>
              <w:rPr>
                <w:sz w:val="22"/>
                <w:szCs w:val="22"/>
              </w:rPr>
            </w:pPr>
          </w:p>
          <w:p w14:paraId="2C549889" w14:textId="76619A63" w:rsidR="726EECCC" w:rsidRDefault="726EECCC" w:rsidP="59801B34">
            <w:pPr>
              <w:pStyle w:val="TableRowCentered"/>
              <w:jc w:val="left"/>
              <w:rPr>
                <w:sz w:val="22"/>
                <w:szCs w:val="22"/>
              </w:rPr>
            </w:pPr>
            <w:r w:rsidRPr="59801B34">
              <w:rPr>
                <w:sz w:val="22"/>
                <w:szCs w:val="22"/>
              </w:rPr>
              <w:t xml:space="preserve">Equity in Education, Lee Elliot Major: The importance of recognising the barrier and putting the relevant intervention in place to support the student. </w:t>
            </w:r>
            <w:r w:rsidR="61E43820" w:rsidRPr="59801B34">
              <w:rPr>
                <w:sz w:val="22"/>
                <w:szCs w:val="22"/>
              </w:rPr>
              <w:t xml:space="preserve">These can be emerging barriers that require early intervention. </w:t>
            </w:r>
          </w:p>
          <w:p w14:paraId="28B81F53" w14:textId="3AA7BF9C" w:rsidR="59801B34" w:rsidRDefault="59801B34" w:rsidP="59801B34">
            <w:pPr>
              <w:pStyle w:val="TableRowCentered"/>
              <w:jc w:val="left"/>
              <w:rPr>
                <w:sz w:val="22"/>
                <w:szCs w:val="22"/>
              </w:rPr>
            </w:pPr>
          </w:p>
          <w:p w14:paraId="766FAA1E" w14:textId="06E44990" w:rsidR="59801B34" w:rsidRDefault="59801B34" w:rsidP="59801B34">
            <w:pPr>
              <w:pStyle w:val="TableRowCentered"/>
              <w:jc w:val="left"/>
              <w:rPr>
                <w:sz w:val="22"/>
                <w:szCs w:val="22"/>
              </w:rPr>
            </w:pPr>
          </w:p>
          <w:p w14:paraId="2981DF9F" w14:textId="321B7271" w:rsidR="59801B34" w:rsidRDefault="59801B34" w:rsidP="59801B34">
            <w:pPr>
              <w:pStyle w:val="TableRowCentered"/>
              <w:jc w:val="left"/>
              <w:rPr>
                <w:sz w:val="22"/>
                <w:szCs w:val="22"/>
              </w:rPr>
            </w:pPr>
          </w:p>
          <w:p w14:paraId="76B450F9" w14:textId="37C190DC" w:rsidR="59801B34" w:rsidRDefault="59801B34" w:rsidP="59801B34">
            <w:pPr>
              <w:pStyle w:val="TableRowCentered"/>
              <w:jc w:val="left"/>
              <w:rPr>
                <w:sz w:val="22"/>
                <w:szCs w:val="22"/>
              </w:rPr>
            </w:pPr>
          </w:p>
          <w:p w14:paraId="0840B17E" w14:textId="55E76CC4" w:rsidR="59801B34" w:rsidRDefault="59801B34" w:rsidP="59801B34">
            <w:pPr>
              <w:pStyle w:val="TableRowCentered"/>
              <w:jc w:val="left"/>
              <w:rPr>
                <w:sz w:val="22"/>
                <w:szCs w:val="22"/>
              </w:rPr>
            </w:pPr>
          </w:p>
          <w:p w14:paraId="3155BE2B" w14:textId="6EB94C16" w:rsidR="59801B34" w:rsidRDefault="59801B34" w:rsidP="59801B34">
            <w:pPr>
              <w:pStyle w:val="TableRowCentered"/>
              <w:jc w:val="left"/>
              <w:rPr>
                <w:sz w:val="22"/>
                <w:szCs w:val="22"/>
              </w:rPr>
            </w:pPr>
          </w:p>
          <w:p w14:paraId="361B38B2" w14:textId="3048A4E2" w:rsidR="59801B34" w:rsidRDefault="59801B34" w:rsidP="59801B34">
            <w:pPr>
              <w:pStyle w:val="TableRowCentered"/>
              <w:jc w:val="left"/>
              <w:rPr>
                <w:sz w:val="22"/>
                <w:szCs w:val="22"/>
              </w:rPr>
            </w:pPr>
          </w:p>
          <w:p w14:paraId="6ACC83C8" w14:textId="59F5649F" w:rsidR="59801B34" w:rsidRDefault="59801B34" w:rsidP="59801B34">
            <w:pPr>
              <w:pStyle w:val="TableRowCentered"/>
              <w:jc w:val="left"/>
              <w:rPr>
                <w:sz w:val="22"/>
                <w:szCs w:val="22"/>
              </w:rPr>
            </w:pPr>
          </w:p>
          <w:p w14:paraId="5A0B033C" w14:textId="3C5A5F31" w:rsidR="59801B34" w:rsidRDefault="59801B34" w:rsidP="59801B34">
            <w:pPr>
              <w:pStyle w:val="TableRowCentered"/>
              <w:jc w:val="left"/>
              <w:rPr>
                <w:sz w:val="22"/>
                <w:szCs w:val="22"/>
              </w:rPr>
            </w:pPr>
          </w:p>
          <w:p w14:paraId="5CA9B0E3" w14:textId="7E6CEFA7" w:rsidR="59801B34" w:rsidRDefault="59801B34" w:rsidP="59801B34">
            <w:pPr>
              <w:pStyle w:val="TableRowCentered"/>
              <w:jc w:val="left"/>
              <w:rPr>
                <w:sz w:val="22"/>
                <w:szCs w:val="22"/>
              </w:rPr>
            </w:pPr>
          </w:p>
          <w:p w14:paraId="5252CD8D" w14:textId="64E5DED9" w:rsidR="59801B34" w:rsidRDefault="59801B34" w:rsidP="59801B34">
            <w:pPr>
              <w:pStyle w:val="TableRowCentered"/>
              <w:jc w:val="left"/>
              <w:rPr>
                <w:sz w:val="22"/>
                <w:szCs w:val="22"/>
              </w:rPr>
            </w:pPr>
          </w:p>
          <w:p w14:paraId="062EC4DC" w14:textId="762BF3A6" w:rsidR="59801B34" w:rsidRDefault="59801B34" w:rsidP="59801B34">
            <w:pPr>
              <w:pStyle w:val="TableRowCentered"/>
              <w:jc w:val="left"/>
              <w:rPr>
                <w:sz w:val="22"/>
                <w:szCs w:val="22"/>
              </w:rPr>
            </w:pPr>
          </w:p>
          <w:p w14:paraId="52D48EDE" w14:textId="23438AB0" w:rsidR="59801B34" w:rsidRDefault="59801B34" w:rsidP="59801B34">
            <w:pPr>
              <w:pStyle w:val="TableRowCentered"/>
              <w:jc w:val="left"/>
              <w:rPr>
                <w:sz w:val="22"/>
                <w:szCs w:val="22"/>
              </w:rPr>
            </w:pPr>
          </w:p>
          <w:p w14:paraId="67131DF9" w14:textId="385CD976" w:rsidR="777C8EA1" w:rsidRDefault="777C8EA1" w:rsidP="59801B34">
            <w:pPr>
              <w:pStyle w:val="TableRowCentered"/>
              <w:jc w:val="left"/>
              <w:rPr>
                <w:sz w:val="22"/>
                <w:szCs w:val="22"/>
              </w:rPr>
            </w:pPr>
            <w:r w:rsidRPr="59801B34">
              <w:rPr>
                <w:sz w:val="22"/>
                <w:szCs w:val="22"/>
              </w:rPr>
              <w:t>EEF’s research on the impact of arts education on overall achievement in other areas</w:t>
            </w:r>
            <w:r w:rsidR="08B25F32" w:rsidRPr="59801B34">
              <w:rPr>
                <w:sz w:val="22"/>
                <w:szCs w:val="22"/>
              </w:rPr>
              <w:t xml:space="preserve">, </w:t>
            </w:r>
            <w:r w:rsidR="5C132396" w:rsidRPr="59801B34">
              <w:rPr>
                <w:sz w:val="22"/>
                <w:szCs w:val="22"/>
              </w:rPr>
              <w:t>accelerating</w:t>
            </w:r>
            <w:r w:rsidR="08B25F32" w:rsidRPr="59801B34">
              <w:rPr>
                <w:sz w:val="22"/>
                <w:szCs w:val="22"/>
              </w:rPr>
              <w:t xml:space="preserve"> progress by up to 3 months.</w:t>
            </w:r>
          </w:p>
          <w:p w14:paraId="570A4C25" w14:textId="2242F64A" w:rsidR="59801B34" w:rsidRDefault="59801B34" w:rsidP="59801B34">
            <w:pPr>
              <w:pStyle w:val="TableRowCentered"/>
              <w:jc w:val="left"/>
              <w:rPr>
                <w:sz w:val="22"/>
                <w:szCs w:val="22"/>
              </w:rPr>
            </w:pPr>
          </w:p>
          <w:p w14:paraId="227F1DAC" w14:textId="25F69512" w:rsidR="08B25F32" w:rsidRDefault="08B25F32" w:rsidP="59801B34">
            <w:pPr>
              <w:pStyle w:val="TableRowCentered"/>
              <w:jc w:val="left"/>
              <w:rPr>
                <w:sz w:val="22"/>
                <w:szCs w:val="22"/>
              </w:rPr>
            </w:pPr>
            <w:r w:rsidRPr="59801B34">
              <w:rPr>
                <w:sz w:val="22"/>
                <w:szCs w:val="22"/>
              </w:rPr>
              <w:t xml:space="preserve">EEF cite that effective parental </w:t>
            </w:r>
            <w:r w:rsidR="5516F332" w:rsidRPr="59801B34">
              <w:rPr>
                <w:sz w:val="22"/>
                <w:szCs w:val="22"/>
              </w:rPr>
              <w:t>communication,</w:t>
            </w:r>
            <w:r w:rsidRPr="59801B34">
              <w:rPr>
                <w:sz w:val="22"/>
                <w:szCs w:val="22"/>
              </w:rPr>
              <w:t xml:space="preserve"> and engagement can improve achievement by up to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26572" w14:textId="35019037" w:rsidR="59801B34" w:rsidRDefault="59801B34" w:rsidP="59801B34">
            <w:pPr>
              <w:pStyle w:val="TableRowCentered"/>
              <w:jc w:val="left"/>
              <w:rPr>
                <w:sz w:val="22"/>
                <w:szCs w:val="22"/>
              </w:rPr>
            </w:pPr>
          </w:p>
        </w:tc>
      </w:tr>
      <w:tr w:rsidR="59801B34" w14:paraId="350BC44A" w14:textId="77777777" w:rsidTr="59801B34">
        <w:trPr>
          <w:trHeight w:val="30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B8490" w14:textId="13331396" w:rsidR="1B597FDB" w:rsidRDefault="1B597FDB" w:rsidP="59801B34">
            <w:pPr>
              <w:pStyle w:val="TableRow"/>
              <w:rPr>
                <w:i/>
                <w:iCs/>
                <w:sz w:val="22"/>
                <w:szCs w:val="22"/>
              </w:rPr>
            </w:pPr>
            <w:r w:rsidRPr="59801B34">
              <w:rPr>
                <w:i/>
                <w:iCs/>
                <w:sz w:val="22"/>
                <w:szCs w:val="22"/>
              </w:rPr>
              <w:t>E</w:t>
            </w:r>
            <w:r w:rsidR="10C578B3" w:rsidRPr="59801B34">
              <w:rPr>
                <w:i/>
                <w:iCs/>
                <w:sz w:val="22"/>
                <w:szCs w:val="22"/>
              </w:rPr>
              <w:t>nrichment trips and events</w:t>
            </w:r>
          </w:p>
          <w:p w14:paraId="67C7A26E" w14:textId="2E26DA5B" w:rsidR="786E54B5" w:rsidRDefault="786E54B5" w:rsidP="59801B34">
            <w:pPr>
              <w:rPr>
                <w:rFonts w:eastAsia="Arial" w:cs="Arial"/>
                <w:color w:val="000000" w:themeColor="text1"/>
              </w:rPr>
            </w:pPr>
            <w:r w:rsidRPr="59801B34">
              <w:rPr>
                <w:rFonts w:eastAsia="Arial" w:cs="Arial"/>
                <w:color w:val="000000" w:themeColor="text1"/>
              </w:rPr>
              <w:t xml:space="preserve">Extra-curricular clubs promoted in key messages via form tutors each week, signposted on posters around school, and on the TV screens. In half term 2- there are over 100 club opportunities over a weekly period available. </w:t>
            </w:r>
          </w:p>
          <w:p w14:paraId="31595DE1" w14:textId="21B57B4A" w:rsidR="32D45A2C" w:rsidRDefault="32D45A2C" w:rsidP="59801B34">
            <w:pPr>
              <w:rPr>
                <w:rFonts w:eastAsia="Arial" w:cs="Arial"/>
                <w:color w:val="000000" w:themeColor="text1"/>
              </w:rPr>
            </w:pPr>
            <w:r w:rsidRPr="59801B34">
              <w:rPr>
                <w:rFonts w:eastAsia="Arial" w:cs="Arial"/>
                <w:color w:val="000000" w:themeColor="text1"/>
              </w:rPr>
              <w:t xml:space="preserve">Free/reduced cost musical instrument and singing lessons are provided for PP students. </w:t>
            </w:r>
          </w:p>
          <w:p w14:paraId="5C9C4240" w14:textId="7FB8A4D0" w:rsidR="786E54B5" w:rsidRDefault="786E54B5" w:rsidP="59801B34">
            <w:pPr>
              <w:rPr>
                <w:rFonts w:eastAsia="Arial" w:cs="Arial"/>
                <w:color w:val="000000" w:themeColor="text1"/>
              </w:rPr>
            </w:pPr>
            <w:r w:rsidRPr="59801B34">
              <w:rPr>
                <w:rFonts w:eastAsia="Arial" w:cs="Arial"/>
                <w:color w:val="000000" w:themeColor="text1"/>
              </w:rPr>
              <w:t xml:space="preserve">All of our Year 7 students have taken part in a Sing Off during half term 2- where they came together as a year group to perform different songs in a singing competition. </w:t>
            </w:r>
          </w:p>
          <w:p w14:paraId="725E3E26" w14:textId="5D10AE86" w:rsidR="786E54B5" w:rsidRDefault="786E54B5" w:rsidP="59801B34">
            <w:pPr>
              <w:rPr>
                <w:rFonts w:eastAsia="Arial" w:cs="Arial"/>
                <w:color w:val="auto"/>
              </w:rPr>
            </w:pPr>
            <w:r w:rsidRPr="59801B34">
              <w:rPr>
                <w:rFonts w:eastAsia="Arial" w:cs="Arial"/>
                <w:color w:val="auto"/>
              </w:rPr>
              <w:lastRenderedPageBreak/>
              <w:t>Tickets for our annual Arts Shows are sent out to our PP families free of charge.</w:t>
            </w:r>
          </w:p>
          <w:p w14:paraId="018DEA04" w14:textId="2C2526DD" w:rsidR="786E54B5" w:rsidRDefault="786E54B5" w:rsidP="59801B34">
            <w:pPr>
              <w:rPr>
                <w:rFonts w:eastAsia="Arial" w:cs="Arial"/>
                <w:color w:val="000000" w:themeColor="text1"/>
              </w:rPr>
            </w:pPr>
            <w:r w:rsidRPr="59801B34">
              <w:rPr>
                <w:rFonts w:eastAsia="Arial" w:cs="Arial"/>
                <w:color w:val="000000" w:themeColor="text1"/>
              </w:rPr>
              <w:t>Year 7 students have a ‘SPIRIT Passport’ over Nov-Feb- to receive different levels of award (Bronze-Platinum). Criteria for the award includes attendance, punctuality, Class Charts, attendance to clubs and helping at home.</w:t>
            </w:r>
          </w:p>
          <w:p w14:paraId="45CD72B6" w14:textId="1D3F2B1D" w:rsidR="7DBD827A" w:rsidRDefault="7DBD827A" w:rsidP="59801B34">
            <w:pPr>
              <w:rPr>
                <w:rFonts w:eastAsia="Arial" w:cs="Arial"/>
                <w:color w:val="000000" w:themeColor="text1"/>
              </w:rPr>
            </w:pPr>
            <w:r w:rsidRPr="59801B34">
              <w:rPr>
                <w:rFonts w:eastAsia="Arial" w:cs="Arial"/>
                <w:color w:val="000000" w:themeColor="text1"/>
              </w:rPr>
              <w:t>Our PP students are supported financially with our annual enrichment day and aspiration day trips. These include cult</w:t>
            </w:r>
            <w:r w:rsidR="71B65206" w:rsidRPr="59801B34">
              <w:rPr>
                <w:rFonts w:eastAsia="Arial" w:cs="Arial"/>
                <w:color w:val="000000" w:themeColor="text1"/>
              </w:rPr>
              <w:t xml:space="preserve">ural trips to the museum/zoo/beach and to the museum/theatre/orchestra. </w:t>
            </w:r>
          </w:p>
          <w:p w14:paraId="0C921059" w14:textId="6A26C8C6" w:rsidR="6034E030" w:rsidRDefault="6034E030" w:rsidP="59801B34">
            <w:pPr>
              <w:rPr>
                <w:rFonts w:eastAsia="Arial" w:cs="Arial"/>
                <w:color w:val="000000" w:themeColor="text1"/>
              </w:rPr>
            </w:pPr>
            <w:r w:rsidRPr="59801B34">
              <w:rPr>
                <w:rFonts w:eastAsia="Arial" w:cs="Arial"/>
                <w:color w:val="000000" w:themeColor="text1"/>
              </w:rPr>
              <w:t xml:space="preserve">Students in all year groups take part in interform sporting activities in form time once a week over a term. </w:t>
            </w:r>
          </w:p>
          <w:p w14:paraId="73754423" w14:textId="04A7F21C" w:rsidR="013E856B" w:rsidRDefault="013E856B" w:rsidP="59801B34">
            <w:pPr>
              <w:rPr>
                <w:rFonts w:eastAsia="Arial" w:cs="Arial"/>
                <w:color w:val="000000" w:themeColor="text1"/>
              </w:rPr>
            </w:pPr>
            <w:r w:rsidRPr="59801B34">
              <w:rPr>
                <w:rFonts w:eastAsia="Arial" w:cs="Arial"/>
                <w:color w:val="000000" w:themeColor="text1"/>
              </w:rPr>
              <w:t>All Child organisation who a</w:t>
            </w:r>
            <w:r w:rsidR="7C2A7180" w:rsidRPr="59801B34">
              <w:rPr>
                <w:rFonts w:eastAsia="Arial" w:cs="Arial"/>
                <w:color w:val="000000" w:themeColor="text1"/>
              </w:rPr>
              <w:t>re based in school</w:t>
            </w:r>
            <w:r w:rsidRPr="59801B34">
              <w:rPr>
                <w:rFonts w:eastAsia="Arial" w:cs="Arial"/>
                <w:color w:val="000000" w:themeColor="text1"/>
              </w:rPr>
              <w:t xml:space="preserve"> are working with 30 of our Year 7 and 8 students and families on early intervention</w:t>
            </w:r>
            <w:r w:rsidR="4878DE54" w:rsidRPr="59801B34">
              <w:rPr>
                <w:rFonts w:eastAsia="Arial" w:cs="Arial"/>
                <w:color w:val="000000" w:themeColor="text1"/>
              </w:rPr>
              <w:t xml:space="preserve">. 87% of these students are currently PP. </w:t>
            </w:r>
            <w:r w:rsidR="166145D4" w:rsidRPr="59801B34">
              <w:rPr>
                <w:rFonts w:eastAsia="Arial" w:cs="Arial"/>
                <w:color w:val="000000" w:themeColor="text1"/>
              </w:rPr>
              <w:t xml:space="preserve">This programme also included working with local partners such as Wigan Athletic, Commando Joes and Girls out Loud. </w:t>
            </w:r>
            <w:r w:rsidRPr="59801B34">
              <w:rPr>
                <w:rFonts w:eastAsia="Arial" w:cs="Arial"/>
                <w:color w:val="000000" w:themeColor="text1"/>
              </w:rPr>
              <w:t xml:space="preserve"> </w:t>
            </w:r>
          </w:p>
          <w:p w14:paraId="372EFA5D" w14:textId="5712DCC6" w:rsidR="23FA5B51" w:rsidRDefault="23FA5B51" w:rsidP="59801B34">
            <w:pPr>
              <w:rPr>
                <w:rFonts w:eastAsia="Arial" w:cs="Arial"/>
                <w:color w:val="000000" w:themeColor="text1"/>
              </w:rPr>
            </w:pPr>
            <w:r w:rsidRPr="59801B34">
              <w:rPr>
                <w:rFonts w:eastAsia="Arial" w:cs="Arial"/>
                <w:color w:val="000000" w:themeColor="text1"/>
              </w:rPr>
              <w:t>We have applied</w:t>
            </w:r>
            <w:r w:rsidR="2833CB69" w:rsidRPr="59801B34">
              <w:rPr>
                <w:rFonts w:eastAsia="Arial" w:cs="Arial"/>
                <w:color w:val="000000" w:themeColor="text1"/>
              </w:rPr>
              <w:t xml:space="preserve"> to be part of a scheme with Leigh </w:t>
            </w:r>
            <w:proofErr w:type="spellStart"/>
            <w:r w:rsidR="2833CB69" w:rsidRPr="59801B34">
              <w:rPr>
                <w:rFonts w:eastAsia="Arial" w:cs="Arial"/>
                <w:color w:val="000000" w:themeColor="text1"/>
              </w:rPr>
              <w:t>Lepard's</w:t>
            </w:r>
            <w:proofErr w:type="spellEnd"/>
            <w:r w:rsidR="2833CB69" w:rsidRPr="59801B34">
              <w:rPr>
                <w:rFonts w:eastAsia="Arial" w:cs="Arial"/>
                <w:color w:val="000000" w:themeColor="text1"/>
              </w:rPr>
              <w:t xml:space="preserve">- Inspiring </w:t>
            </w:r>
            <w:r w:rsidR="5A470931" w:rsidRPr="59801B34">
              <w:rPr>
                <w:rFonts w:eastAsia="Arial" w:cs="Arial"/>
                <w:color w:val="000000" w:themeColor="text1"/>
              </w:rPr>
              <w:t xml:space="preserve">Change Programme to work with 12 of our Year 9 students.  </w:t>
            </w:r>
          </w:p>
          <w:p w14:paraId="48644A86" w14:textId="1F4CFC32" w:rsidR="018FB850" w:rsidRDefault="018FB850" w:rsidP="59801B34">
            <w:pPr>
              <w:rPr>
                <w:rFonts w:eastAsia="Arial" w:cs="Arial"/>
                <w:color w:val="000000" w:themeColor="text1"/>
              </w:rPr>
            </w:pPr>
            <w:r w:rsidRPr="59801B34">
              <w:rPr>
                <w:rFonts w:eastAsia="Arial" w:cs="Arial"/>
                <w:color w:val="000000" w:themeColor="text1"/>
              </w:rPr>
              <w:lastRenderedPageBreak/>
              <w:t xml:space="preserve">All students complete a PD booklet once per week during Form. This enables them to celebrate their </w:t>
            </w:r>
            <w:proofErr w:type="spellStart"/>
            <w:r w:rsidRPr="59801B34">
              <w:rPr>
                <w:rFonts w:eastAsia="Arial" w:cs="Arial"/>
                <w:color w:val="000000" w:themeColor="text1"/>
              </w:rPr>
              <w:t>Classcharts</w:t>
            </w:r>
            <w:proofErr w:type="spellEnd"/>
            <w:r w:rsidRPr="59801B34">
              <w:rPr>
                <w:rFonts w:eastAsia="Arial" w:cs="Arial"/>
                <w:color w:val="000000" w:themeColor="text1"/>
              </w:rPr>
              <w:t xml:space="preserve"> behaviour points, attendance and </w:t>
            </w:r>
            <w:r w:rsidR="0E716374" w:rsidRPr="59801B34">
              <w:rPr>
                <w:rFonts w:eastAsia="Arial" w:cs="Arial"/>
                <w:color w:val="000000" w:themeColor="text1"/>
              </w:rPr>
              <w:t xml:space="preserve">successes and strengths. This also helps to inform pathways and next steps. </w:t>
            </w:r>
          </w:p>
          <w:p w14:paraId="752A0DA0" w14:textId="5AF0CF68" w:rsidR="0E716374" w:rsidRDefault="0E716374" w:rsidP="59801B34">
            <w:pPr>
              <w:rPr>
                <w:rFonts w:eastAsia="Arial" w:cs="Arial"/>
                <w:color w:val="000000" w:themeColor="text1"/>
              </w:rPr>
            </w:pPr>
            <w:r w:rsidRPr="59801B34">
              <w:rPr>
                <w:rFonts w:eastAsia="Arial" w:cs="Arial"/>
                <w:color w:val="000000" w:themeColor="text1"/>
              </w:rPr>
              <w:t xml:space="preserve">In our weekly </w:t>
            </w:r>
            <w:r w:rsidR="18DAB7FD" w:rsidRPr="59801B34">
              <w:rPr>
                <w:rFonts w:eastAsia="Arial" w:cs="Arial"/>
                <w:color w:val="000000" w:themeColor="text1"/>
              </w:rPr>
              <w:t>‘</w:t>
            </w:r>
            <w:r w:rsidRPr="59801B34">
              <w:rPr>
                <w:rFonts w:eastAsia="Arial" w:cs="Arial"/>
                <w:color w:val="000000" w:themeColor="text1"/>
              </w:rPr>
              <w:t xml:space="preserve">Key </w:t>
            </w:r>
            <w:r w:rsidR="342082D3" w:rsidRPr="59801B34">
              <w:rPr>
                <w:rFonts w:eastAsia="Arial" w:cs="Arial"/>
                <w:color w:val="000000" w:themeColor="text1"/>
              </w:rPr>
              <w:t>messages</w:t>
            </w:r>
            <w:r w:rsidR="6431A621" w:rsidRPr="59801B34">
              <w:rPr>
                <w:rFonts w:eastAsia="Arial" w:cs="Arial"/>
                <w:color w:val="000000" w:themeColor="text1"/>
              </w:rPr>
              <w:t>’</w:t>
            </w:r>
            <w:r w:rsidR="342082D3" w:rsidRPr="59801B34">
              <w:rPr>
                <w:rFonts w:eastAsia="Arial" w:cs="Arial"/>
                <w:color w:val="000000" w:themeColor="text1"/>
              </w:rPr>
              <w:t>,</w:t>
            </w:r>
            <w:r w:rsidRPr="59801B34">
              <w:rPr>
                <w:rFonts w:eastAsia="Arial" w:cs="Arial"/>
                <w:color w:val="000000" w:themeColor="text1"/>
              </w:rPr>
              <w:t xml:space="preserve"> w</w:t>
            </w:r>
            <w:r w:rsidR="5F5B5055" w:rsidRPr="59801B34">
              <w:rPr>
                <w:rFonts w:eastAsia="Arial" w:cs="Arial"/>
                <w:color w:val="000000" w:themeColor="text1"/>
              </w:rPr>
              <w:t>e</w:t>
            </w:r>
            <w:r w:rsidRPr="59801B34">
              <w:rPr>
                <w:rFonts w:eastAsia="Arial" w:cs="Arial"/>
                <w:color w:val="000000" w:themeColor="text1"/>
              </w:rPr>
              <w:t xml:space="preserve"> are celebrating extra- curricular success stories in Form, </w:t>
            </w:r>
            <w:r w:rsidR="7DFF7741" w:rsidRPr="59801B34">
              <w:rPr>
                <w:rFonts w:eastAsia="Arial" w:cs="Arial"/>
                <w:color w:val="000000" w:themeColor="text1"/>
              </w:rPr>
              <w:t>Assemblies</w:t>
            </w:r>
            <w:r w:rsidRPr="59801B34">
              <w:rPr>
                <w:rFonts w:eastAsia="Arial" w:cs="Arial"/>
                <w:color w:val="000000" w:themeColor="text1"/>
              </w:rPr>
              <w:t xml:space="preserve">, </w:t>
            </w:r>
            <w:r w:rsidR="348C81F7" w:rsidRPr="59801B34">
              <w:rPr>
                <w:rFonts w:eastAsia="Arial" w:cs="Arial"/>
                <w:color w:val="000000" w:themeColor="text1"/>
              </w:rPr>
              <w:t>Headteacher half termly bulletin</w:t>
            </w:r>
            <w:r w:rsidR="7EBDD01F" w:rsidRPr="59801B34">
              <w:rPr>
                <w:rFonts w:eastAsia="Arial" w:cs="Arial"/>
                <w:color w:val="000000" w:themeColor="text1"/>
              </w:rPr>
              <w:t>s</w:t>
            </w:r>
            <w:r w:rsidR="348C81F7" w:rsidRPr="59801B34">
              <w:rPr>
                <w:rFonts w:eastAsia="Arial" w:cs="Arial"/>
                <w:color w:val="000000" w:themeColor="text1"/>
              </w:rPr>
              <w:t>,</w:t>
            </w:r>
            <w:r w:rsidR="56AC5F16" w:rsidRPr="59801B34">
              <w:rPr>
                <w:rFonts w:eastAsia="Arial" w:cs="Arial"/>
                <w:color w:val="000000" w:themeColor="text1"/>
              </w:rPr>
              <w:t xml:space="preserve"> </w:t>
            </w:r>
            <w:r w:rsidR="0C52C1BA" w:rsidRPr="59801B34">
              <w:rPr>
                <w:rFonts w:eastAsia="Arial" w:cs="Arial"/>
                <w:color w:val="000000" w:themeColor="text1"/>
              </w:rPr>
              <w:t>social media</w:t>
            </w:r>
            <w:r w:rsidRPr="59801B34">
              <w:rPr>
                <w:rFonts w:eastAsia="Arial" w:cs="Arial"/>
                <w:color w:val="000000" w:themeColor="text1"/>
              </w:rPr>
              <w:t xml:space="preserve"> and on our Monitors </w:t>
            </w:r>
            <w:r w:rsidR="6FF47DE7" w:rsidRPr="59801B34">
              <w:rPr>
                <w:rFonts w:eastAsia="Arial" w:cs="Arial"/>
                <w:color w:val="000000" w:themeColor="text1"/>
              </w:rPr>
              <w:t>around</w:t>
            </w:r>
            <w:r w:rsidRPr="59801B34">
              <w:rPr>
                <w:rFonts w:eastAsia="Arial" w:cs="Arial"/>
                <w:color w:val="000000" w:themeColor="text1"/>
              </w:rPr>
              <w:t xml:space="preserve"> school. </w:t>
            </w:r>
          </w:p>
          <w:p w14:paraId="7812E96D" w14:textId="6231B92C" w:rsidR="6CF2E6F6" w:rsidRDefault="6CF2E6F6" w:rsidP="59801B34">
            <w:pPr>
              <w:rPr>
                <w:rFonts w:eastAsia="Arial" w:cs="Arial"/>
                <w:color w:val="000000" w:themeColor="text1"/>
              </w:rPr>
            </w:pPr>
            <w:r w:rsidRPr="59801B34">
              <w:rPr>
                <w:rFonts w:eastAsia="Arial" w:cs="Arial"/>
                <w:color w:val="000000" w:themeColor="text1"/>
              </w:rPr>
              <w:t xml:space="preserve">Parents are also invited to send in success stories of their child termly. These often celebrate success that we are not always aware of. </w:t>
            </w:r>
          </w:p>
          <w:p w14:paraId="1E577CCA" w14:textId="42213A30" w:rsidR="326AEB79" w:rsidRDefault="326AEB79" w:rsidP="59801B34">
            <w:pPr>
              <w:rPr>
                <w:rFonts w:eastAsia="Arial" w:cs="Arial"/>
                <w:color w:val="000000" w:themeColor="text1"/>
              </w:rPr>
            </w:pPr>
            <w:r w:rsidRPr="59801B34">
              <w:rPr>
                <w:rFonts w:eastAsia="Arial" w:cs="Arial"/>
                <w:color w:val="000000" w:themeColor="text1"/>
              </w:rPr>
              <w:t xml:space="preserve">Students with SEND/PP are involved in the School Games events- such as the Year </w:t>
            </w:r>
            <w:r w:rsidR="74C711BE" w:rsidRPr="59801B34">
              <w:rPr>
                <w:rFonts w:eastAsia="Arial" w:cs="Arial"/>
                <w:color w:val="000000" w:themeColor="text1"/>
              </w:rPr>
              <w:t xml:space="preserve">7 Transition event at Howe Bridge. </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AD782" w14:textId="461F1138" w:rsidR="59801B34" w:rsidRDefault="59801B34" w:rsidP="59801B34">
            <w:pPr>
              <w:pStyle w:val="TableRowCentered"/>
              <w:jc w:val="left"/>
              <w:rPr>
                <w:sz w:val="22"/>
                <w:szCs w:val="22"/>
              </w:rPr>
            </w:pPr>
          </w:p>
          <w:p w14:paraId="2F9227E4" w14:textId="385CD976" w:rsidR="2F53DCED" w:rsidRDefault="2F53DCED" w:rsidP="59801B34">
            <w:pPr>
              <w:pStyle w:val="TableRowCentered"/>
              <w:jc w:val="left"/>
              <w:rPr>
                <w:sz w:val="22"/>
                <w:szCs w:val="22"/>
              </w:rPr>
            </w:pPr>
            <w:r w:rsidRPr="59801B34">
              <w:rPr>
                <w:sz w:val="22"/>
                <w:szCs w:val="22"/>
              </w:rPr>
              <w:t>EEF’s research on the impact of arts education on overall achievement in other areas, accelerating progress by up to 3 months.</w:t>
            </w:r>
          </w:p>
          <w:p w14:paraId="6BBA2542" w14:textId="4EA2DB6A" w:rsidR="59801B34" w:rsidRDefault="59801B34" w:rsidP="59801B34">
            <w:pPr>
              <w:pStyle w:val="TableRowCentered"/>
              <w:jc w:val="left"/>
              <w:rPr>
                <w:sz w:val="22"/>
                <w:szCs w:val="22"/>
              </w:rPr>
            </w:pPr>
          </w:p>
          <w:p w14:paraId="23D91CE8" w14:textId="65225B19" w:rsidR="59801B34" w:rsidRDefault="59801B34" w:rsidP="59801B34">
            <w:pPr>
              <w:pStyle w:val="TableRowCentered"/>
              <w:jc w:val="left"/>
              <w:rPr>
                <w:sz w:val="22"/>
                <w:szCs w:val="22"/>
              </w:rPr>
            </w:pPr>
          </w:p>
          <w:p w14:paraId="40DB916E" w14:textId="68D16989" w:rsidR="59801B34" w:rsidRDefault="59801B34" w:rsidP="59801B34">
            <w:pPr>
              <w:pStyle w:val="TableRowCentered"/>
              <w:jc w:val="left"/>
              <w:rPr>
                <w:sz w:val="22"/>
                <w:szCs w:val="22"/>
              </w:rPr>
            </w:pPr>
          </w:p>
          <w:p w14:paraId="2F0406CD" w14:textId="413971BC" w:rsidR="59801B34" w:rsidRDefault="59801B34" w:rsidP="59801B34">
            <w:pPr>
              <w:pStyle w:val="TableRowCentered"/>
              <w:jc w:val="left"/>
              <w:rPr>
                <w:sz w:val="22"/>
                <w:szCs w:val="22"/>
              </w:rPr>
            </w:pPr>
          </w:p>
          <w:p w14:paraId="082360C5" w14:textId="69151694" w:rsidR="59801B34" w:rsidRDefault="59801B34" w:rsidP="59801B34">
            <w:pPr>
              <w:pStyle w:val="TableRowCentered"/>
              <w:jc w:val="left"/>
              <w:rPr>
                <w:sz w:val="22"/>
                <w:szCs w:val="22"/>
              </w:rPr>
            </w:pPr>
          </w:p>
          <w:p w14:paraId="2AD0A067" w14:textId="40FB7647" w:rsidR="59801B34" w:rsidRDefault="59801B34" w:rsidP="59801B34">
            <w:pPr>
              <w:pStyle w:val="TableRowCentered"/>
              <w:jc w:val="left"/>
              <w:rPr>
                <w:sz w:val="22"/>
                <w:szCs w:val="22"/>
              </w:rPr>
            </w:pPr>
          </w:p>
          <w:p w14:paraId="73E40A4D" w14:textId="63C64B94" w:rsidR="59801B34" w:rsidRDefault="59801B34" w:rsidP="59801B34">
            <w:pPr>
              <w:pStyle w:val="TableRowCentered"/>
              <w:jc w:val="left"/>
              <w:rPr>
                <w:sz w:val="22"/>
                <w:szCs w:val="22"/>
              </w:rPr>
            </w:pPr>
          </w:p>
          <w:p w14:paraId="740E4770" w14:textId="707E2F79" w:rsidR="59801B34" w:rsidRDefault="59801B34" w:rsidP="59801B34">
            <w:pPr>
              <w:pStyle w:val="TableRowCentered"/>
              <w:jc w:val="left"/>
              <w:rPr>
                <w:sz w:val="22"/>
                <w:szCs w:val="22"/>
              </w:rPr>
            </w:pPr>
          </w:p>
          <w:p w14:paraId="4596CBE8" w14:textId="3A9855F9" w:rsidR="59801B34" w:rsidRDefault="59801B34" w:rsidP="59801B34">
            <w:pPr>
              <w:pStyle w:val="TableRowCentered"/>
              <w:jc w:val="left"/>
              <w:rPr>
                <w:sz w:val="22"/>
                <w:szCs w:val="22"/>
              </w:rPr>
            </w:pPr>
          </w:p>
          <w:p w14:paraId="4BF74C94" w14:textId="765A9E3E" w:rsidR="59801B34" w:rsidRDefault="59801B34" w:rsidP="59801B34">
            <w:pPr>
              <w:pStyle w:val="TableRowCentered"/>
              <w:jc w:val="left"/>
              <w:rPr>
                <w:sz w:val="22"/>
                <w:szCs w:val="22"/>
              </w:rPr>
            </w:pPr>
          </w:p>
          <w:p w14:paraId="5838D24C" w14:textId="62643E82" w:rsidR="59801B34" w:rsidRDefault="59801B34" w:rsidP="59801B34">
            <w:pPr>
              <w:pStyle w:val="TableRowCentered"/>
              <w:jc w:val="left"/>
              <w:rPr>
                <w:sz w:val="22"/>
                <w:szCs w:val="22"/>
              </w:rPr>
            </w:pPr>
          </w:p>
          <w:p w14:paraId="370E1904" w14:textId="6CFBE8CD" w:rsidR="59801B34" w:rsidRDefault="59801B34" w:rsidP="59801B34">
            <w:pPr>
              <w:pStyle w:val="TableRowCentered"/>
              <w:jc w:val="left"/>
              <w:rPr>
                <w:sz w:val="22"/>
                <w:szCs w:val="22"/>
              </w:rPr>
            </w:pPr>
          </w:p>
          <w:p w14:paraId="39C2A8CD" w14:textId="6769229E" w:rsidR="59801B34" w:rsidRDefault="59801B34" w:rsidP="59801B34">
            <w:pPr>
              <w:pStyle w:val="TableRowCentered"/>
              <w:jc w:val="left"/>
              <w:rPr>
                <w:sz w:val="22"/>
                <w:szCs w:val="22"/>
              </w:rPr>
            </w:pPr>
          </w:p>
          <w:p w14:paraId="7EB84B17" w14:textId="286417E3" w:rsidR="59801B34" w:rsidRDefault="59801B34" w:rsidP="59801B34">
            <w:pPr>
              <w:pStyle w:val="TableRowCentered"/>
              <w:jc w:val="left"/>
              <w:rPr>
                <w:sz w:val="22"/>
                <w:szCs w:val="22"/>
              </w:rPr>
            </w:pPr>
          </w:p>
          <w:p w14:paraId="770D3E26" w14:textId="40ABE459" w:rsidR="59801B34" w:rsidRDefault="59801B34" w:rsidP="59801B34">
            <w:pPr>
              <w:pStyle w:val="TableRowCentered"/>
              <w:jc w:val="left"/>
              <w:rPr>
                <w:sz w:val="22"/>
                <w:szCs w:val="22"/>
              </w:rPr>
            </w:pPr>
          </w:p>
          <w:p w14:paraId="7782CF58" w14:textId="166549EC" w:rsidR="59801B34" w:rsidRDefault="59801B34" w:rsidP="59801B34">
            <w:pPr>
              <w:pStyle w:val="TableRowCentered"/>
              <w:jc w:val="left"/>
              <w:rPr>
                <w:sz w:val="22"/>
                <w:szCs w:val="22"/>
              </w:rPr>
            </w:pPr>
          </w:p>
          <w:p w14:paraId="7F202217" w14:textId="250CDD8C" w:rsidR="59801B34" w:rsidRDefault="59801B34" w:rsidP="59801B34">
            <w:pPr>
              <w:pStyle w:val="TableRowCentered"/>
              <w:jc w:val="left"/>
              <w:rPr>
                <w:sz w:val="22"/>
                <w:szCs w:val="22"/>
              </w:rPr>
            </w:pPr>
          </w:p>
          <w:p w14:paraId="43E18219" w14:textId="233CD5A0" w:rsidR="59801B34" w:rsidRDefault="59801B34" w:rsidP="59801B34">
            <w:pPr>
              <w:pStyle w:val="TableRowCentered"/>
              <w:jc w:val="left"/>
              <w:rPr>
                <w:sz w:val="22"/>
                <w:szCs w:val="22"/>
              </w:rPr>
            </w:pPr>
          </w:p>
          <w:p w14:paraId="392891BE" w14:textId="7D29488B" w:rsidR="59801B34" w:rsidRDefault="59801B34" w:rsidP="59801B34">
            <w:pPr>
              <w:pStyle w:val="TableRowCentered"/>
              <w:jc w:val="left"/>
              <w:rPr>
                <w:sz w:val="22"/>
                <w:szCs w:val="22"/>
              </w:rPr>
            </w:pPr>
          </w:p>
          <w:p w14:paraId="3435DDB8" w14:textId="3C578350" w:rsidR="59801B34" w:rsidRDefault="59801B34" w:rsidP="59801B34">
            <w:pPr>
              <w:pStyle w:val="TableRowCentered"/>
              <w:jc w:val="left"/>
              <w:rPr>
                <w:sz w:val="22"/>
                <w:szCs w:val="22"/>
              </w:rPr>
            </w:pPr>
          </w:p>
          <w:p w14:paraId="0AE8FD98" w14:textId="30C926E2" w:rsidR="59801B34" w:rsidRDefault="59801B34" w:rsidP="59801B34">
            <w:pPr>
              <w:pStyle w:val="TableRowCentered"/>
              <w:jc w:val="left"/>
              <w:rPr>
                <w:sz w:val="22"/>
                <w:szCs w:val="22"/>
              </w:rPr>
            </w:pPr>
          </w:p>
          <w:p w14:paraId="1B62EFB8" w14:textId="1F0E9446" w:rsidR="59801B34" w:rsidRDefault="59801B34" w:rsidP="59801B34">
            <w:pPr>
              <w:pStyle w:val="TableRowCentered"/>
              <w:jc w:val="left"/>
              <w:rPr>
                <w:sz w:val="22"/>
                <w:szCs w:val="22"/>
              </w:rPr>
            </w:pPr>
          </w:p>
          <w:p w14:paraId="4C501C45" w14:textId="3F8C6CC6" w:rsidR="59801B34" w:rsidRDefault="59801B34" w:rsidP="59801B34">
            <w:pPr>
              <w:pStyle w:val="TableRowCentered"/>
              <w:jc w:val="left"/>
              <w:rPr>
                <w:sz w:val="22"/>
                <w:szCs w:val="22"/>
              </w:rPr>
            </w:pPr>
          </w:p>
          <w:p w14:paraId="7C6C1249" w14:textId="1EDBA5B3" w:rsidR="59801B34" w:rsidRDefault="59801B34" w:rsidP="59801B34">
            <w:pPr>
              <w:pStyle w:val="TableRowCentered"/>
              <w:jc w:val="left"/>
              <w:rPr>
                <w:sz w:val="22"/>
                <w:szCs w:val="22"/>
              </w:rPr>
            </w:pPr>
          </w:p>
          <w:p w14:paraId="79BCE1BD" w14:textId="158D3342" w:rsidR="59801B34" w:rsidRDefault="59801B34" w:rsidP="59801B34">
            <w:pPr>
              <w:pStyle w:val="TableRowCentered"/>
              <w:jc w:val="left"/>
              <w:rPr>
                <w:sz w:val="22"/>
                <w:szCs w:val="22"/>
              </w:rPr>
            </w:pPr>
          </w:p>
          <w:p w14:paraId="316D6212" w14:textId="6CC35772" w:rsidR="59801B34" w:rsidRDefault="59801B34" w:rsidP="59801B34">
            <w:pPr>
              <w:pStyle w:val="TableRowCentered"/>
              <w:jc w:val="left"/>
              <w:rPr>
                <w:sz w:val="22"/>
                <w:szCs w:val="22"/>
              </w:rPr>
            </w:pPr>
          </w:p>
          <w:p w14:paraId="4AE8ED42" w14:textId="3914A45F" w:rsidR="59801B34" w:rsidRDefault="59801B34" w:rsidP="59801B34">
            <w:pPr>
              <w:pStyle w:val="TableRowCentered"/>
              <w:jc w:val="left"/>
              <w:rPr>
                <w:sz w:val="22"/>
                <w:szCs w:val="22"/>
              </w:rPr>
            </w:pPr>
          </w:p>
          <w:p w14:paraId="44E603FD" w14:textId="482C65A7" w:rsidR="59801B34" w:rsidRDefault="59801B34" w:rsidP="59801B34">
            <w:pPr>
              <w:pStyle w:val="TableRowCentered"/>
              <w:jc w:val="left"/>
              <w:rPr>
                <w:sz w:val="22"/>
                <w:szCs w:val="22"/>
              </w:rPr>
            </w:pPr>
          </w:p>
          <w:p w14:paraId="660DFCAD" w14:textId="1E583DEC" w:rsidR="59801B34" w:rsidRDefault="59801B34" w:rsidP="59801B34">
            <w:pPr>
              <w:pStyle w:val="TableRowCentered"/>
              <w:jc w:val="left"/>
              <w:rPr>
                <w:sz w:val="22"/>
                <w:szCs w:val="22"/>
              </w:rPr>
            </w:pPr>
          </w:p>
          <w:p w14:paraId="339B5E6B" w14:textId="7DBA7999" w:rsidR="59801B34" w:rsidRDefault="59801B34" w:rsidP="59801B34">
            <w:pPr>
              <w:pStyle w:val="TableRowCentered"/>
              <w:jc w:val="left"/>
              <w:rPr>
                <w:sz w:val="22"/>
                <w:szCs w:val="22"/>
              </w:rPr>
            </w:pPr>
          </w:p>
          <w:p w14:paraId="624B4303" w14:textId="216648F9" w:rsidR="59801B34" w:rsidRDefault="59801B34" w:rsidP="59801B34">
            <w:pPr>
              <w:pStyle w:val="TableRowCentered"/>
              <w:jc w:val="left"/>
              <w:rPr>
                <w:sz w:val="22"/>
                <w:szCs w:val="22"/>
              </w:rPr>
            </w:pPr>
          </w:p>
          <w:p w14:paraId="7476C4AF" w14:textId="4B34C508" w:rsidR="59801B34" w:rsidRDefault="59801B34" w:rsidP="59801B34">
            <w:pPr>
              <w:pStyle w:val="TableRowCentered"/>
              <w:jc w:val="left"/>
              <w:rPr>
                <w:sz w:val="22"/>
                <w:szCs w:val="22"/>
              </w:rPr>
            </w:pPr>
          </w:p>
          <w:p w14:paraId="54B079C1" w14:textId="0A8EDC31" w:rsidR="59801B34" w:rsidRDefault="59801B34" w:rsidP="59801B34">
            <w:pPr>
              <w:pStyle w:val="TableRowCentered"/>
              <w:jc w:val="left"/>
              <w:rPr>
                <w:sz w:val="22"/>
                <w:szCs w:val="22"/>
              </w:rPr>
            </w:pPr>
          </w:p>
          <w:p w14:paraId="12238983" w14:textId="08EEFB87" w:rsidR="3A5C49C7" w:rsidRDefault="3A5C49C7" w:rsidP="59801B34">
            <w:pPr>
              <w:pStyle w:val="TableRowCentered"/>
              <w:jc w:val="left"/>
              <w:rPr>
                <w:sz w:val="22"/>
                <w:szCs w:val="22"/>
              </w:rPr>
            </w:pPr>
            <w:r w:rsidRPr="59801B34">
              <w:rPr>
                <w:sz w:val="22"/>
                <w:szCs w:val="22"/>
              </w:rPr>
              <w:t>EEF- There is some evidence that involvement in extra-curricular sporting activities may increase pupil attendance and retention.</w:t>
            </w:r>
          </w:p>
          <w:p w14:paraId="36938BB1" w14:textId="36C339E2" w:rsidR="59801B34" w:rsidRDefault="59801B34" w:rsidP="59801B34">
            <w:pPr>
              <w:pStyle w:val="TableRowCentered"/>
              <w:jc w:val="left"/>
              <w:rPr>
                <w:sz w:val="22"/>
                <w:szCs w:val="22"/>
              </w:rPr>
            </w:pPr>
          </w:p>
          <w:p w14:paraId="4EE8A64E" w14:textId="6859F3AE" w:rsidR="3A5C49C7" w:rsidRDefault="3A5C49C7" w:rsidP="59801B34">
            <w:pPr>
              <w:pStyle w:val="TableRowCentered"/>
              <w:jc w:val="left"/>
              <w:rPr>
                <w:sz w:val="22"/>
                <w:szCs w:val="22"/>
              </w:rPr>
            </w:pPr>
            <w:r w:rsidRPr="59801B34">
              <w:rPr>
                <w:sz w:val="22"/>
                <w:szCs w:val="22"/>
              </w:rPr>
              <w:t>EEF- Planned extra-curricular activities which include short, regular, and structured teaching in literacy and mathematics (either tutoring or group teaching) as part of a sports programme, such as an after-school club or summer school, are more likely to offer academic benefits than sporting activities alone.</w:t>
            </w:r>
          </w:p>
          <w:p w14:paraId="558CEE7E" w14:textId="5F2A7F58" w:rsidR="59801B34" w:rsidRDefault="59801B34" w:rsidP="59801B34">
            <w:pPr>
              <w:pStyle w:val="TableRowCentered"/>
              <w:jc w:val="left"/>
              <w:rPr>
                <w:sz w:val="22"/>
                <w:szCs w:val="22"/>
              </w:rPr>
            </w:pPr>
          </w:p>
          <w:p w14:paraId="58C57F9C" w14:textId="0B74358F" w:rsidR="59801B34" w:rsidRDefault="59801B34" w:rsidP="59801B34">
            <w:pPr>
              <w:shd w:val="clear" w:color="auto" w:fill="263238"/>
              <w:spacing w:after="0"/>
              <w:ind w:left="3600"/>
              <w:rPr>
                <w:rFonts w:ascii="Roboto" w:eastAsia="Roboto" w:hAnsi="Roboto" w:cs="Roboto"/>
                <w:color w:val="FFFFFF" w:themeColor="background1"/>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15FAB" w14:textId="06A542E5" w:rsidR="59801B34" w:rsidRDefault="59801B34" w:rsidP="59801B34">
            <w:pPr>
              <w:pStyle w:val="TableRowCentered"/>
              <w:jc w:val="left"/>
              <w:rPr>
                <w:sz w:val="22"/>
                <w:szCs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670CEAF7" w14:textId="66710DBA" w:rsidR="76D681A0" w:rsidRDefault="76D681A0" w:rsidP="59801B34">
      <w:pPr>
        <w:pStyle w:val="Heading2"/>
      </w:pPr>
      <w:r>
        <w:t>Outcomes for disadvantaged pupils</w:t>
      </w:r>
    </w:p>
    <w:p w14:paraId="564A4FCE" w14:textId="6B66F1AD" w:rsidR="59801B34" w:rsidRDefault="59801B34" w:rsidP="59801B34"/>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9801B34">
        <w:trPr>
          <w:trHeight w:val="30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D66C6" w14:textId="14FF930F" w:rsidR="0064167B" w:rsidRPr="002F4C6F" w:rsidRDefault="727C70AC" w:rsidP="59801B34">
            <w:pPr>
              <w:spacing w:before="60"/>
              <w:rPr>
                <w:i/>
                <w:iCs/>
                <w:color w:val="auto"/>
              </w:rPr>
            </w:pPr>
            <w:r w:rsidRPr="59801B34">
              <w:rPr>
                <w:i/>
                <w:iCs/>
                <w:color w:val="000000" w:themeColor="text1"/>
              </w:rPr>
              <w:t xml:space="preserve">The overall progress 8 outcome for the Class of 2024 indicated that PP students are progressing by half a grade less than Non-PP students. This is a trend over the last 3 years at Bedford High </w:t>
            </w:r>
            <w:r w:rsidR="1FF4D7F4" w:rsidRPr="59801B34">
              <w:rPr>
                <w:i/>
                <w:iCs/>
                <w:color w:val="000000" w:themeColor="text1"/>
              </w:rPr>
              <w:t>School. See table below.</w:t>
            </w:r>
          </w:p>
          <w:tbl>
            <w:tblPr>
              <w:tblStyle w:val="TableGrid"/>
              <w:tblW w:w="0" w:type="auto"/>
              <w:tblLook w:val="06A0" w:firstRow="1" w:lastRow="0" w:firstColumn="1" w:lastColumn="0" w:noHBand="1" w:noVBand="1"/>
            </w:tblPr>
            <w:tblGrid>
              <w:gridCol w:w="2316"/>
              <w:gridCol w:w="2317"/>
              <w:gridCol w:w="2317"/>
              <w:gridCol w:w="2317"/>
            </w:tblGrid>
            <w:tr w:rsidR="59801B34" w14:paraId="03268C85" w14:textId="77777777" w:rsidTr="59801B34">
              <w:trPr>
                <w:trHeight w:val="300"/>
              </w:trPr>
              <w:tc>
                <w:tcPr>
                  <w:tcW w:w="2318" w:type="dxa"/>
                </w:tcPr>
                <w:p w14:paraId="23579543" w14:textId="679CC148" w:rsidR="59801B34" w:rsidRDefault="59801B34" w:rsidP="59801B34">
                  <w:pPr>
                    <w:rPr>
                      <w:i/>
                      <w:iCs/>
                      <w:color w:val="000000" w:themeColor="text1"/>
                    </w:rPr>
                  </w:pPr>
                </w:p>
              </w:tc>
              <w:tc>
                <w:tcPr>
                  <w:tcW w:w="2318" w:type="dxa"/>
                </w:tcPr>
                <w:p w14:paraId="0F5DDAA9" w14:textId="694C0B42" w:rsidR="1FF4D7F4" w:rsidRDefault="1FF4D7F4" w:rsidP="59801B34">
                  <w:pPr>
                    <w:rPr>
                      <w:i/>
                      <w:iCs/>
                      <w:color w:val="000000" w:themeColor="text1"/>
                    </w:rPr>
                  </w:pPr>
                  <w:r w:rsidRPr="59801B34">
                    <w:rPr>
                      <w:i/>
                      <w:iCs/>
                      <w:color w:val="000000" w:themeColor="text1"/>
                    </w:rPr>
                    <w:t xml:space="preserve">Class of 2024 progress 8 </w:t>
                  </w:r>
                </w:p>
              </w:tc>
              <w:tc>
                <w:tcPr>
                  <w:tcW w:w="2318" w:type="dxa"/>
                </w:tcPr>
                <w:p w14:paraId="63448AE1" w14:textId="61D50E34" w:rsidR="1FF4D7F4" w:rsidRDefault="1FF4D7F4" w:rsidP="59801B34">
                  <w:pPr>
                    <w:rPr>
                      <w:i/>
                      <w:iCs/>
                      <w:color w:val="000000" w:themeColor="text1"/>
                    </w:rPr>
                  </w:pPr>
                  <w:r w:rsidRPr="59801B34">
                    <w:rPr>
                      <w:i/>
                      <w:iCs/>
                      <w:color w:val="000000" w:themeColor="text1"/>
                    </w:rPr>
                    <w:t xml:space="preserve">Class of 2023 progress 8 </w:t>
                  </w:r>
                </w:p>
              </w:tc>
              <w:tc>
                <w:tcPr>
                  <w:tcW w:w="2318" w:type="dxa"/>
                </w:tcPr>
                <w:p w14:paraId="7C7DC915" w14:textId="4989E7D9" w:rsidR="1FF4D7F4" w:rsidRDefault="1FF4D7F4" w:rsidP="59801B34">
                  <w:pPr>
                    <w:rPr>
                      <w:i/>
                      <w:iCs/>
                      <w:color w:val="000000" w:themeColor="text1"/>
                    </w:rPr>
                  </w:pPr>
                  <w:r w:rsidRPr="59801B34">
                    <w:rPr>
                      <w:i/>
                      <w:iCs/>
                      <w:color w:val="000000" w:themeColor="text1"/>
                    </w:rPr>
                    <w:t>Class of 2022 Progress 8</w:t>
                  </w:r>
                </w:p>
              </w:tc>
            </w:tr>
            <w:tr w:rsidR="59801B34" w14:paraId="62D61185" w14:textId="77777777" w:rsidTr="59801B34">
              <w:trPr>
                <w:trHeight w:val="300"/>
              </w:trPr>
              <w:tc>
                <w:tcPr>
                  <w:tcW w:w="2318" w:type="dxa"/>
                </w:tcPr>
                <w:p w14:paraId="3D4F4345" w14:textId="4A7C7053" w:rsidR="1FF4D7F4" w:rsidRDefault="1FF4D7F4" w:rsidP="59801B34">
                  <w:pPr>
                    <w:rPr>
                      <w:i/>
                      <w:iCs/>
                      <w:color w:val="000000" w:themeColor="text1"/>
                    </w:rPr>
                  </w:pPr>
                  <w:r w:rsidRPr="59801B34">
                    <w:rPr>
                      <w:i/>
                      <w:iCs/>
                      <w:color w:val="000000" w:themeColor="text1"/>
                    </w:rPr>
                    <w:t xml:space="preserve">PP students </w:t>
                  </w:r>
                </w:p>
              </w:tc>
              <w:tc>
                <w:tcPr>
                  <w:tcW w:w="2318" w:type="dxa"/>
                </w:tcPr>
                <w:p w14:paraId="278856CE" w14:textId="474D0B5C" w:rsidR="1FF4D7F4" w:rsidRDefault="1FF4D7F4" w:rsidP="59801B34">
                  <w:pPr>
                    <w:rPr>
                      <w:i/>
                      <w:iCs/>
                      <w:color w:val="000000" w:themeColor="text1"/>
                    </w:rPr>
                  </w:pPr>
                  <w:r w:rsidRPr="59801B34">
                    <w:rPr>
                      <w:i/>
                      <w:iCs/>
                      <w:color w:val="000000" w:themeColor="text1"/>
                    </w:rPr>
                    <w:t>-0</w:t>
                  </w:r>
                  <w:r w:rsidR="2A94B7BA" w:rsidRPr="59801B34">
                    <w:rPr>
                      <w:i/>
                      <w:iCs/>
                      <w:color w:val="000000" w:themeColor="text1"/>
                    </w:rPr>
                    <w:t>.54</w:t>
                  </w:r>
                </w:p>
              </w:tc>
              <w:tc>
                <w:tcPr>
                  <w:tcW w:w="2318" w:type="dxa"/>
                </w:tcPr>
                <w:p w14:paraId="65C979FE" w14:textId="41007A62" w:rsidR="1FF4D7F4" w:rsidRDefault="1FF4D7F4" w:rsidP="59801B34">
                  <w:pPr>
                    <w:rPr>
                      <w:i/>
                      <w:iCs/>
                      <w:color w:val="000000" w:themeColor="text1"/>
                    </w:rPr>
                  </w:pPr>
                  <w:r w:rsidRPr="59801B34">
                    <w:rPr>
                      <w:i/>
                      <w:iCs/>
                      <w:color w:val="000000" w:themeColor="text1"/>
                    </w:rPr>
                    <w:t>-1.19</w:t>
                  </w:r>
                </w:p>
              </w:tc>
              <w:tc>
                <w:tcPr>
                  <w:tcW w:w="2318" w:type="dxa"/>
                </w:tcPr>
                <w:p w14:paraId="00929E86" w14:textId="55671A32" w:rsidR="1FF4D7F4" w:rsidRDefault="1FF4D7F4" w:rsidP="59801B34">
                  <w:pPr>
                    <w:rPr>
                      <w:i/>
                      <w:iCs/>
                      <w:color w:val="000000" w:themeColor="text1"/>
                    </w:rPr>
                  </w:pPr>
                  <w:r w:rsidRPr="59801B34">
                    <w:rPr>
                      <w:i/>
                      <w:iCs/>
                      <w:color w:val="000000" w:themeColor="text1"/>
                    </w:rPr>
                    <w:t>-0.61</w:t>
                  </w:r>
                </w:p>
              </w:tc>
            </w:tr>
            <w:tr w:rsidR="59801B34" w14:paraId="60F56902" w14:textId="77777777" w:rsidTr="59801B34">
              <w:trPr>
                <w:trHeight w:val="300"/>
              </w:trPr>
              <w:tc>
                <w:tcPr>
                  <w:tcW w:w="2318" w:type="dxa"/>
                </w:tcPr>
                <w:p w14:paraId="61E68209" w14:textId="702F1B16" w:rsidR="1FF4D7F4" w:rsidRDefault="1FF4D7F4" w:rsidP="59801B34">
                  <w:pPr>
                    <w:rPr>
                      <w:i/>
                      <w:iCs/>
                      <w:color w:val="000000" w:themeColor="text1"/>
                    </w:rPr>
                  </w:pPr>
                  <w:proofErr w:type="gramStart"/>
                  <w:r w:rsidRPr="59801B34">
                    <w:rPr>
                      <w:i/>
                      <w:iCs/>
                      <w:color w:val="000000" w:themeColor="text1"/>
                    </w:rPr>
                    <w:t>Non PP</w:t>
                  </w:r>
                  <w:proofErr w:type="gramEnd"/>
                  <w:r w:rsidRPr="59801B34">
                    <w:rPr>
                      <w:i/>
                      <w:iCs/>
                      <w:color w:val="000000" w:themeColor="text1"/>
                    </w:rPr>
                    <w:t xml:space="preserve"> Students </w:t>
                  </w:r>
                </w:p>
              </w:tc>
              <w:tc>
                <w:tcPr>
                  <w:tcW w:w="2318" w:type="dxa"/>
                </w:tcPr>
                <w:p w14:paraId="28E79093" w14:textId="6F545BE9" w:rsidR="1FF4D7F4" w:rsidRDefault="1FF4D7F4" w:rsidP="59801B34">
                  <w:pPr>
                    <w:rPr>
                      <w:i/>
                      <w:iCs/>
                      <w:color w:val="000000" w:themeColor="text1"/>
                    </w:rPr>
                  </w:pPr>
                  <w:r w:rsidRPr="59801B34">
                    <w:rPr>
                      <w:i/>
                      <w:iCs/>
                      <w:color w:val="000000" w:themeColor="text1"/>
                    </w:rPr>
                    <w:t>-0.</w:t>
                  </w:r>
                  <w:r w:rsidR="7A06E729" w:rsidRPr="59801B34">
                    <w:rPr>
                      <w:i/>
                      <w:iCs/>
                      <w:color w:val="000000" w:themeColor="text1"/>
                    </w:rPr>
                    <w:t>10</w:t>
                  </w:r>
                </w:p>
              </w:tc>
              <w:tc>
                <w:tcPr>
                  <w:tcW w:w="2318" w:type="dxa"/>
                </w:tcPr>
                <w:p w14:paraId="66E6AB60" w14:textId="3D40D999" w:rsidR="1FF4D7F4" w:rsidRDefault="1FF4D7F4" w:rsidP="59801B34">
                  <w:pPr>
                    <w:rPr>
                      <w:i/>
                      <w:iCs/>
                      <w:color w:val="000000" w:themeColor="text1"/>
                    </w:rPr>
                  </w:pPr>
                  <w:r w:rsidRPr="59801B34">
                    <w:rPr>
                      <w:i/>
                      <w:iCs/>
                      <w:color w:val="000000" w:themeColor="text1"/>
                    </w:rPr>
                    <w:t>-0.51</w:t>
                  </w:r>
                </w:p>
              </w:tc>
              <w:tc>
                <w:tcPr>
                  <w:tcW w:w="2318" w:type="dxa"/>
                </w:tcPr>
                <w:p w14:paraId="53B0FD3B" w14:textId="36CF73FB" w:rsidR="1FF4D7F4" w:rsidRDefault="1FF4D7F4" w:rsidP="59801B34">
                  <w:pPr>
                    <w:rPr>
                      <w:i/>
                      <w:iCs/>
                      <w:color w:val="000000" w:themeColor="text1"/>
                    </w:rPr>
                  </w:pPr>
                  <w:r w:rsidRPr="59801B34">
                    <w:rPr>
                      <w:i/>
                      <w:iCs/>
                      <w:color w:val="000000" w:themeColor="text1"/>
                    </w:rPr>
                    <w:t>-0.19</w:t>
                  </w:r>
                </w:p>
              </w:tc>
            </w:tr>
          </w:tbl>
          <w:p w14:paraId="2D4D2EC7" w14:textId="2B74F445" w:rsidR="0064167B" w:rsidRPr="002F4C6F" w:rsidRDefault="0064167B" w:rsidP="59801B34">
            <w:pPr>
              <w:spacing w:before="60"/>
              <w:rPr>
                <w:i/>
                <w:iCs/>
                <w:color w:val="000000" w:themeColor="text1"/>
              </w:rPr>
            </w:pPr>
          </w:p>
          <w:p w14:paraId="44CBCF03" w14:textId="1149D366" w:rsidR="0064167B" w:rsidRPr="002F4C6F" w:rsidRDefault="1FF4D7F4" w:rsidP="59801B34">
            <w:pPr>
              <w:spacing w:before="60"/>
              <w:rPr>
                <w:i/>
                <w:iCs/>
                <w:color w:val="000000" w:themeColor="text1"/>
              </w:rPr>
            </w:pPr>
            <w:r w:rsidRPr="59801B34">
              <w:rPr>
                <w:i/>
                <w:iCs/>
                <w:color w:val="000000" w:themeColor="text1"/>
              </w:rPr>
              <w:t>However, the Progress 8 for English and Maths ha</w:t>
            </w:r>
            <w:r w:rsidR="1D31EBDE" w:rsidRPr="59801B34">
              <w:rPr>
                <w:i/>
                <w:iCs/>
                <w:color w:val="000000" w:themeColor="text1"/>
              </w:rPr>
              <w:t>s narrowed.</w:t>
            </w:r>
            <w:r w:rsidRPr="59801B34">
              <w:rPr>
                <w:i/>
                <w:iCs/>
                <w:color w:val="000000" w:themeColor="text1"/>
              </w:rPr>
              <w:t xml:space="preserve"> See table below.</w:t>
            </w:r>
          </w:p>
          <w:tbl>
            <w:tblPr>
              <w:tblStyle w:val="TableGrid"/>
              <w:tblW w:w="0" w:type="auto"/>
              <w:tblLook w:val="06A0" w:firstRow="1" w:lastRow="0" w:firstColumn="1" w:lastColumn="0" w:noHBand="1" w:noVBand="1"/>
            </w:tblPr>
            <w:tblGrid>
              <w:gridCol w:w="2316"/>
              <w:gridCol w:w="2317"/>
              <w:gridCol w:w="2317"/>
              <w:gridCol w:w="2317"/>
            </w:tblGrid>
            <w:tr w:rsidR="59801B34" w14:paraId="47FEF9E2" w14:textId="77777777" w:rsidTr="59801B34">
              <w:trPr>
                <w:trHeight w:val="300"/>
              </w:trPr>
              <w:tc>
                <w:tcPr>
                  <w:tcW w:w="2318" w:type="dxa"/>
                </w:tcPr>
                <w:p w14:paraId="2E7F8A9D" w14:textId="66D0CE98" w:rsidR="59801B34" w:rsidRDefault="59801B34" w:rsidP="59801B34">
                  <w:pPr>
                    <w:rPr>
                      <w:i/>
                      <w:iCs/>
                      <w:color w:val="000000" w:themeColor="text1"/>
                    </w:rPr>
                  </w:pPr>
                </w:p>
              </w:tc>
              <w:tc>
                <w:tcPr>
                  <w:tcW w:w="2318" w:type="dxa"/>
                </w:tcPr>
                <w:p w14:paraId="55D724F0" w14:textId="6621445F" w:rsidR="44D9E313" w:rsidRDefault="44D9E313" w:rsidP="59801B34">
                  <w:pPr>
                    <w:rPr>
                      <w:i/>
                      <w:iCs/>
                      <w:color w:val="000000" w:themeColor="text1"/>
                    </w:rPr>
                  </w:pPr>
                  <w:r w:rsidRPr="59801B34">
                    <w:rPr>
                      <w:i/>
                      <w:iCs/>
                      <w:color w:val="000000" w:themeColor="text1"/>
                    </w:rPr>
                    <w:t xml:space="preserve">Progress 8 </w:t>
                  </w:r>
                </w:p>
                <w:p w14:paraId="15F05CB3" w14:textId="5D649352" w:rsidR="44D9E313" w:rsidRDefault="44D9E313" w:rsidP="59801B34">
                  <w:pPr>
                    <w:rPr>
                      <w:i/>
                      <w:iCs/>
                      <w:color w:val="000000" w:themeColor="text1"/>
                    </w:rPr>
                  </w:pPr>
                  <w:r w:rsidRPr="59801B34">
                    <w:rPr>
                      <w:i/>
                      <w:iCs/>
                      <w:color w:val="000000" w:themeColor="text1"/>
                    </w:rPr>
                    <w:t>2024</w:t>
                  </w:r>
                </w:p>
              </w:tc>
              <w:tc>
                <w:tcPr>
                  <w:tcW w:w="2318" w:type="dxa"/>
                </w:tcPr>
                <w:p w14:paraId="41BBCC8C" w14:textId="2DA055E7" w:rsidR="44D9E313" w:rsidRDefault="44D9E313" w:rsidP="59801B34">
                  <w:pPr>
                    <w:rPr>
                      <w:i/>
                      <w:iCs/>
                      <w:color w:val="000000" w:themeColor="text1"/>
                    </w:rPr>
                  </w:pPr>
                  <w:r w:rsidRPr="59801B34">
                    <w:rPr>
                      <w:i/>
                      <w:iCs/>
                      <w:color w:val="000000" w:themeColor="text1"/>
                    </w:rPr>
                    <w:t>Progress 8</w:t>
                  </w:r>
                </w:p>
                <w:p w14:paraId="3D49C2E8" w14:textId="3815CEB3" w:rsidR="44D9E313" w:rsidRDefault="44D9E313" w:rsidP="59801B34">
                  <w:pPr>
                    <w:rPr>
                      <w:i/>
                      <w:iCs/>
                      <w:color w:val="000000" w:themeColor="text1"/>
                    </w:rPr>
                  </w:pPr>
                  <w:r w:rsidRPr="59801B34">
                    <w:rPr>
                      <w:i/>
                      <w:iCs/>
                      <w:color w:val="000000" w:themeColor="text1"/>
                    </w:rPr>
                    <w:t>2023</w:t>
                  </w:r>
                </w:p>
              </w:tc>
              <w:tc>
                <w:tcPr>
                  <w:tcW w:w="2318" w:type="dxa"/>
                </w:tcPr>
                <w:p w14:paraId="1075F347" w14:textId="2C284C23" w:rsidR="44D9E313" w:rsidRDefault="44D9E313" w:rsidP="59801B34">
                  <w:pPr>
                    <w:rPr>
                      <w:i/>
                      <w:iCs/>
                      <w:color w:val="000000" w:themeColor="text1"/>
                    </w:rPr>
                  </w:pPr>
                  <w:r w:rsidRPr="59801B34">
                    <w:rPr>
                      <w:i/>
                      <w:iCs/>
                      <w:color w:val="000000" w:themeColor="text1"/>
                    </w:rPr>
                    <w:t>Progress 8</w:t>
                  </w:r>
                </w:p>
                <w:p w14:paraId="02862277" w14:textId="1F70FFC9" w:rsidR="44D9E313" w:rsidRDefault="44D9E313" w:rsidP="59801B34">
                  <w:pPr>
                    <w:rPr>
                      <w:i/>
                      <w:iCs/>
                      <w:color w:val="000000" w:themeColor="text1"/>
                    </w:rPr>
                  </w:pPr>
                  <w:r w:rsidRPr="59801B34">
                    <w:rPr>
                      <w:i/>
                      <w:iCs/>
                      <w:color w:val="000000" w:themeColor="text1"/>
                    </w:rPr>
                    <w:t>2022</w:t>
                  </w:r>
                </w:p>
              </w:tc>
            </w:tr>
            <w:tr w:rsidR="59801B34" w14:paraId="0567373F" w14:textId="77777777" w:rsidTr="59801B34">
              <w:trPr>
                <w:trHeight w:val="300"/>
              </w:trPr>
              <w:tc>
                <w:tcPr>
                  <w:tcW w:w="2318" w:type="dxa"/>
                </w:tcPr>
                <w:p w14:paraId="50D91DDE" w14:textId="2583918F" w:rsidR="5B27833D" w:rsidRDefault="5B27833D" w:rsidP="59801B34">
                  <w:pPr>
                    <w:rPr>
                      <w:i/>
                      <w:iCs/>
                      <w:color w:val="000000" w:themeColor="text1"/>
                    </w:rPr>
                  </w:pPr>
                  <w:r w:rsidRPr="59801B34">
                    <w:rPr>
                      <w:i/>
                      <w:iCs/>
                      <w:color w:val="000000" w:themeColor="text1"/>
                    </w:rPr>
                    <w:t>English</w:t>
                  </w:r>
                </w:p>
                <w:p w14:paraId="61825115" w14:textId="48379E7D" w:rsidR="5B27833D" w:rsidRDefault="5B27833D" w:rsidP="59801B34">
                  <w:pPr>
                    <w:rPr>
                      <w:i/>
                      <w:iCs/>
                      <w:color w:val="000000" w:themeColor="text1"/>
                    </w:rPr>
                  </w:pPr>
                  <w:r w:rsidRPr="59801B34">
                    <w:rPr>
                      <w:i/>
                      <w:iCs/>
                      <w:color w:val="000000" w:themeColor="text1"/>
                    </w:rPr>
                    <w:t>PP</w:t>
                  </w:r>
                </w:p>
              </w:tc>
              <w:tc>
                <w:tcPr>
                  <w:tcW w:w="2318" w:type="dxa"/>
                </w:tcPr>
                <w:p w14:paraId="2FD65301" w14:textId="46BD7DDC" w:rsidR="449B353E" w:rsidRDefault="449B353E" w:rsidP="59801B34">
                  <w:pPr>
                    <w:rPr>
                      <w:i/>
                      <w:iCs/>
                      <w:color w:val="000000" w:themeColor="text1"/>
                    </w:rPr>
                  </w:pPr>
                  <w:r w:rsidRPr="59801B34">
                    <w:rPr>
                      <w:i/>
                      <w:iCs/>
                      <w:color w:val="000000" w:themeColor="text1"/>
                    </w:rPr>
                    <w:t>-0.2</w:t>
                  </w:r>
                  <w:r w:rsidR="24012DFC" w:rsidRPr="59801B34">
                    <w:rPr>
                      <w:i/>
                      <w:iCs/>
                      <w:color w:val="000000" w:themeColor="text1"/>
                    </w:rPr>
                    <w:t>5</w:t>
                  </w:r>
                </w:p>
              </w:tc>
              <w:tc>
                <w:tcPr>
                  <w:tcW w:w="2318" w:type="dxa"/>
                </w:tcPr>
                <w:p w14:paraId="2526A9FD" w14:textId="75A09737" w:rsidR="449B353E" w:rsidRDefault="449B353E" w:rsidP="59801B34">
                  <w:pPr>
                    <w:rPr>
                      <w:i/>
                      <w:iCs/>
                      <w:color w:val="000000" w:themeColor="text1"/>
                    </w:rPr>
                  </w:pPr>
                  <w:r w:rsidRPr="59801B34">
                    <w:rPr>
                      <w:i/>
                      <w:iCs/>
                      <w:color w:val="000000" w:themeColor="text1"/>
                    </w:rPr>
                    <w:t>-0.95</w:t>
                  </w:r>
                </w:p>
              </w:tc>
              <w:tc>
                <w:tcPr>
                  <w:tcW w:w="2318" w:type="dxa"/>
                </w:tcPr>
                <w:p w14:paraId="77B690D5" w14:textId="3B6D44BA" w:rsidR="449B353E" w:rsidRDefault="449B353E" w:rsidP="59801B34">
                  <w:pPr>
                    <w:rPr>
                      <w:i/>
                      <w:iCs/>
                      <w:color w:val="000000" w:themeColor="text1"/>
                    </w:rPr>
                  </w:pPr>
                  <w:r w:rsidRPr="59801B34">
                    <w:rPr>
                      <w:i/>
                      <w:iCs/>
                      <w:color w:val="000000" w:themeColor="text1"/>
                    </w:rPr>
                    <w:t>-0.22</w:t>
                  </w:r>
                </w:p>
              </w:tc>
            </w:tr>
            <w:tr w:rsidR="59801B34" w14:paraId="6E9B8786" w14:textId="77777777" w:rsidTr="59801B34">
              <w:trPr>
                <w:trHeight w:val="300"/>
              </w:trPr>
              <w:tc>
                <w:tcPr>
                  <w:tcW w:w="2318" w:type="dxa"/>
                </w:tcPr>
                <w:p w14:paraId="2B7D0A71" w14:textId="3F1A8FA7" w:rsidR="5B27833D" w:rsidRDefault="5B27833D" w:rsidP="59801B34">
                  <w:pPr>
                    <w:rPr>
                      <w:i/>
                      <w:iCs/>
                      <w:color w:val="000000" w:themeColor="text1"/>
                    </w:rPr>
                  </w:pPr>
                  <w:r w:rsidRPr="59801B34">
                    <w:rPr>
                      <w:i/>
                      <w:iCs/>
                      <w:color w:val="000000" w:themeColor="text1"/>
                    </w:rPr>
                    <w:t xml:space="preserve">English </w:t>
                  </w:r>
                </w:p>
                <w:p w14:paraId="529448B2" w14:textId="60975739" w:rsidR="5B27833D" w:rsidRDefault="5B27833D" w:rsidP="59801B34">
                  <w:pPr>
                    <w:rPr>
                      <w:i/>
                      <w:iCs/>
                      <w:color w:val="000000" w:themeColor="text1"/>
                    </w:rPr>
                  </w:pPr>
                  <w:r w:rsidRPr="59801B34">
                    <w:rPr>
                      <w:i/>
                      <w:iCs/>
                      <w:color w:val="000000" w:themeColor="text1"/>
                    </w:rPr>
                    <w:t>Non</w:t>
                  </w:r>
                  <w:r w:rsidR="1315EC44" w:rsidRPr="59801B34">
                    <w:rPr>
                      <w:i/>
                      <w:iCs/>
                      <w:color w:val="000000" w:themeColor="text1"/>
                    </w:rPr>
                    <w:t>-</w:t>
                  </w:r>
                  <w:r w:rsidRPr="59801B34">
                    <w:rPr>
                      <w:i/>
                      <w:iCs/>
                      <w:color w:val="000000" w:themeColor="text1"/>
                    </w:rPr>
                    <w:t>PP</w:t>
                  </w:r>
                </w:p>
              </w:tc>
              <w:tc>
                <w:tcPr>
                  <w:tcW w:w="2318" w:type="dxa"/>
                </w:tcPr>
                <w:p w14:paraId="52EF27B1" w14:textId="3B9BC854" w:rsidR="77F8C943" w:rsidRDefault="77F8C943" w:rsidP="59801B34">
                  <w:pPr>
                    <w:rPr>
                      <w:i/>
                      <w:iCs/>
                      <w:color w:val="000000" w:themeColor="text1"/>
                    </w:rPr>
                  </w:pPr>
                  <w:r w:rsidRPr="59801B34">
                    <w:rPr>
                      <w:i/>
                      <w:iCs/>
                      <w:color w:val="000000" w:themeColor="text1"/>
                    </w:rPr>
                    <w:t>0.3</w:t>
                  </w:r>
                  <w:r w:rsidR="47048489" w:rsidRPr="59801B34">
                    <w:rPr>
                      <w:i/>
                      <w:iCs/>
                      <w:color w:val="000000" w:themeColor="text1"/>
                    </w:rPr>
                    <w:t>2</w:t>
                  </w:r>
                </w:p>
              </w:tc>
              <w:tc>
                <w:tcPr>
                  <w:tcW w:w="2318" w:type="dxa"/>
                </w:tcPr>
                <w:p w14:paraId="1BC2DA4E" w14:textId="3364B6D9" w:rsidR="048C4DDA" w:rsidRDefault="048C4DDA" w:rsidP="59801B34">
                  <w:pPr>
                    <w:rPr>
                      <w:i/>
                      <w:iCs/>
                      <w:color w:val="000000" w:themeColor="text1"/>
                    </w:rPr>
                  </w:pPr>
                  <w:r w:rsidRPr="59801B34">
                    <w:rPr>
                      <w:i/>
                      <w:iCs/>
                      <w:color w:val="000000" w:themeColor="text1"/>
                    </w:rPr>
                    <w:t>-0.08</w:t>
                  </w:r>
                </w:p>
              </w:tc>
              <w:tc>
                <w:tcPr>
                  <w:tcW w:w="2318" w:type="dxa"/>
                </w:tcPr>
                <w:p w14:paraId="42A5662C" w14:textId="40B8C590" w:rsidR="048C4DDA" w:rsidRDefault="048C4DDA" w:rsidP="59801B34">
                  <w:pPr>
                    <w:rPr>
                      <w:i/>
                      <w:iCs/>
                      <w:color w:val="000000" w:themeColor="text1"/>
                    </w:rPr>
                  </w:pPr>
                  <w:r w:rsidRPr="59801B34">
                    <w:rPr>
                      <w:i/>
                      <w:iCs/>
                      <w:color w:val="000000" w:themeColor="text1"/>
                    </w:rPr>
                    <w:t>0.12</w:t>
                  </w:r>
                </w:p>
              </w:tc>
            </w:tr>
            <w:tr w:rsidR="59801B34" w14:paraId="04F31550" w14:textId="77777777" w:rsidTr="59801B34">
              <w:trPr>
                <w:trHeight w:val="300"/>
              </w:trPr>
              <w:tc>
                <w:tcPr>
                  <w:tcW w:w="2318" w:type="dxa"/>
                </w:tcPr>
                <w:p w14:paraId="42CF8BAF" w14:textId="390A1B5D" w:rsidR="44D9E313" w:rsidRDefault="44D9E313" w:rsidP="59801B34">
                  <w:pPr>
                    <w:rPr>
                      <w:i/>
                      <w:iCs/>
                      <w:color w:val="000000" w:themeColor="text1"/>
                    </w:rPr>
                  </w:pPr>
                  <w:r w:rsidRPr="59801B34">
                    <w:rPr>
                      <w:i/>
                      <w:iCs/>
                      <w:color w:val="000000" w:themeColor="text1"/>
                    </w:rPr>
                    <w:t xml:space="preserve">Maths </w:t>
                  </w:r>
                </w:p>
                <w:p w14:paraId="4DDC9A79" w14:textId="5F39641B" w:rsidR="19B326E6" w:rsidRDefault="19B326E6" w:rsidP="59801B34">
                  <w:pPr>
                    <w:rPr>
                      <w:i/>
                      <w:iCs/>
                      <w:color w:val="000000" w:themeColor="text1"/>
                    </w:rPr>
                  </w:pPr>
                  <w:r w:rsidRPr="59801B34">
                    <w:rPr>
                      <w:i/>
                      <w:iCs/>
                      <w:color w:val="000000" w:themeColor="text1"/>
                    </w:rPr>
                    <w:t>PP</w:t>
                  </w:r>
                </w:p>
              </w:tc>
              <w:tc>
                <w:tcPr>
                  <w:tcW w:w="2318" w:type="dxa"/>
                </w:tcPr>
                <w:p w14:paraId="67955F21" w14:textId="6FC3FEB9" w:rsidR="56C80180" w:rsidRDefault="56C80180" w:rsidP="59801B34">
                  <w:pPr>
                    <w:rPr>
                      <w:i/>
                      <w:iCs/>
                      <w:color w:val="000000" w:themeColor="text1"/>
                    </w:rPr>
                  </w:pPr>
                  <w:r w:rsidRPr="59801B34">
                    <w:rPr>
                      <w:i/>
                      <w:iCs/>
                      <w:color w:val="000000" w:themeColor="text1"/>
                    </w:rPr>
                    <w:t>-0.5</w:t>
                  </w:r>
                  <w:r w:rsidR="47363F7E" w:rsidRPr="59801B34">
                    <w:rPr>
                      <w:i/>
                      <w:iCs/>
                      <w:color w:val="000000" w:themeColor="text1"/>
                    </w:rPr>
                    <w:t>5</w:t>
                  </w:r>
                </w:p>
              </w:tc>
              <w:tc>
                <w:tcPr>
                  <w:tcW w:w="2318" w:type="dxa"/>
                </w:tcPr>
                <w:p w14:paraId="62FD3791" w14:textId="7FF7E748" w:rsidR="56C80180" w:rsidRDefault="56C80180" w:rsidP="59801B34">
                  <w:pPr>
                    <w:rPr>
                      <w:i/>
                      <w:iCs/>
                      <w:color w:val="000000" w:themeColor="text1"/>
                    </w:rPr>
                  </w:pPr>
                  <w:r w:rsidRPr="59801B34">
                    <w:rPr>
                      <w:i/>
                      <w:iCs/>
                      <w:color w:val="000000" w:themeColor="text1"/>
                    </w:rPr>
                    <w:t>-1.15</w:t>
                  </w:r>
                </w:p>
              </w:tc>
              <w:tc>
                <w:tcPr>
                  <w:tcW w:w="2318" w:type="dxa"/>
                </w:tcPr>
                <w:p w14:paraId="0137E109" w14:textId="16BB9AB6" w:rsidR="56C80180" w:rsidRDefault="56C80180" w:rsidP="59801B34">
                  <w:pPr>
                    <w:rPr>
                      <w:i/>
                      <w:iCs/>
                      <w:color w:val="000000" w:themeColor="text1"/>
                    </w:rPr>
                  </w:pPr>
                  <w:r w:rsidRPr="59801B34">
                    <w:rPr>
                      <w:i/>
                      <w:iCs/>
                      <w:color w:val="000000" w:themeColor="text1"/>
                    </w:rPr>
                    <w:t>-0.31</w:t>
                  </w:r>
                </w:p>
              </w:tc>
            </w:tr>
            <w:tr w:rsidR="59801B34" w14:paraId="50CBA679" w14:textId="77777777" w:rsidTr="59801B34">
              <w:trPr>
                <w:trHeight w:val="300"/>
              </w:trPr>
              <w:tc>
                <w:tcPr>
                  <w:tcW w:w="2318" w:type="dxa"/>
                </w:tcPr>
                <w:p w14:paraId="257C3803" w14:textId="1D9B154A" w:rsidR="19B326E6" w:rsidRDefault="19B326E6" w:rsidP="59801B34">
                  <w:pPr>
                    <w:rPr>
                      <w:i/>
                      <w:iCs/>
                      <w:color w:val="000000" w:themeColor="text1"/>
                    </w:rPr>
                  </w:pPr>
                  <w:r w:rsidRPr="59801B34">
                    <w:rPr>
                      <w:i/>
                      <w:iCs/>
                      <w:color w:val="000000" w:themeColor="text1"/>
                    </w:rPr>
                    <w:t xml:space="preserve">Maths </w:t>
                  </w:r>
                </w:p>
                <w:p w14:paraId="747A56DF" w14:textId="5801653F" w:rsidR="19B326E6" w:rsidRDefault="19B326E6" w:rsidP="59801B34">
                  <w:pPr>
                    <w:rPr>
                      <w:i/>
                      <w:iCs/>
                      <w:color w:val="000000" w:themeColor="text1"/>
                    </w:rPr>
                  </w:pPr>
                  <w:r w:rsidRPr="59801B34">
                    <w:rPr>
                      <w:i/>
                      <w:iCs/>
                      <w:color w:val="000000" w:themeColor="text1"/>
                    </w:rPr>
                    <w:t>Non-PP</w:t>
                  </w:r>
                </w:p>
              </w:tc>
              <w:tc>
                <w:tcPr>
                  <w:tcW w:w="2318" w:type="dxa"/>
                </w:tcPr>
                <w:p w14:paraId="21CEBE28" w14:textId="4654F330" w:rsidR="25210667" w:rsidRDefault="25210667" w:rsidP="59801B34">
                  <w:pPr>
                    <w:rPr>
                      <w:i/>
                      <w:iCs/>
                      <w:color w:val="000000" w:themeColor="text1"/>
                    </w:rPr>
                  </w:pPr>
                  <w:r w:rsidRPr="59801B34">
                    <w:rPr>
                      <w:i/>
                      <w:iCs/>
                      <w:color w:val="000000" w:themeColor="text1"/>
                    </w:rPr>
                    <w:t>-0.3</w:t>
                  </w:r>
                  <w:r w:rsidR="28B1420E" w:rsidRPr="59801B34">
                    <w:rPr>
                      <w:i/>
                      <w:iCs/>
                      <w:color w:val="000000" w:themeColor="text1"/>
                    </w:rPr>
                    <w:t>9</w:t>
                  </w:r>
                </w:p>
              </w:tc>
              <w:tc>
                <w:tcPr>
                  <w:tcW w:w="2318" w:type="dxa"/>
                </w:tcPr>
                <w:p w14:paraId="187526AA" w14:textId="5D8202FC" w:rsidR="25210667" w:rsidRDefault="25210667" w:rsidP="59801B34">
                  <w:pPr>
                    <w:rPr>
                      <w:i/>
                      <w:iCs/>
                      <w:color w:val="000000" w:themeColor="text1"/>
                    </w:rPr>
                  </w:pPr>
                  <w:r w:rsidRPr="59801B34">
                    <w:rPr>
                      <w:i/>
                      <w:iCs/>
                      <w:color w:val="000000" w:themeColor="text1"/>
                    </w:rPr>
                    <w:t>-0.42</w:t>
                  </w:r>
                </w:p>
              </w:tc>
              <w:tc>
                <w:tcPr>
                  <w:tcW w:w="2318" w:type="dxa"/>
                </w:tcPr>
                <w:p w14:paraId="09B16485" w14:textId="4D9214F4" w:rsidR="25210667" w:rsidRDefault="25210667" w:rsidP="59801B34">
                  <w:pPr>
                    <w:rPr>
                      <w:i/>
                      <w:iCs/>
                      <w:color w:val="000000" w:themeColor="text1"/>
                    </w:rPr>
                  </w:pPr>
                  <w:r w:rsidRPr="59801B34">
                    <w:rPr>
                      <w:i/>
                      <w:iCs/>
                      <w:color w:val="000000" w:themeColor="text1"/>
                    </w:rPr>
                    <w:t>-0.02</w:t>
                  </w:r>
                </w:p>
              </w:tc>
            </w:tr>
          </w:tbl>
          <w:p w14:paraId="342DB12B" w14:textId="5ECFB352" w:rsidR="0064167B" w:rsidRPr="002F4C6F" w:rsidRDefault="0064167B" w:rsidP="59801B34">
            <w:pPr>
              <w:spacing w:before="60"/>
              <w:rPr>
                <w:i/>
                <w:iCs/>
                <w:color w:val="000000" w:themeColor="text1"/>
              </w:rPr>
            </w:pPr>
          </w:p>
          <w:p w14:paraId="7E9DB47E" w14:textId="7902AE0A" w:rsidR="0064167B" w:rsidRPr="002F4C6F" w:rsidRDefault="1B654638" w:rsidP="59801B34">
            <w:pPr>
              <w:spacing w:before="60"/>
              <w:rPr>
                <w:i/>
                <w:iCs/>
                <w:color w:val="000000" w:themeColor="text1"/>
              </w:rPr>
            </w:pPr>
            <w:r w:rsidRPr="59801B34">
              <w:rPr>
                <w:i/>
                <w:iCs/>
                <w:color w:val="000000" w:themeColor="text1"/>
              </w:rPr>
              <w:t xml:space="preserve">The table below shows the Attainment comparisons </w:t>
            </w:r>
            <w:r w:rsidR="1E539D7A" w:rsidRPr="59801B34">
              <w:rPr>
                <w:i/>
                <w:iCs/>
                <w:color w:val="000000" w:themeColor="text1"/>
              </w:rPr>
              <w:t xml:space="preserve">of </w:t>
            </w:r>
            <w:r w:rsidRPr="59801B34">
              <w:rPr>
                <w:i/>
                <w:iCs/>
                <w:color w:val="000000" w:themeColor="text1"/>
              </w:rPr>
              <w:t>PP and Non-PP students</w:t>
            </w:r>
            <w:r w:rsidR="17BD56A7" w:rsidRPr="59801B34">
              <w:rPr>
                <w:i/>
                <w:iCs/>
                <w:color w:val="000000" w:themeColor="text1"/>
              </w:rPr>
              <w:t>.</w:t>
            </w:r>
          </w:p>
          <w:p w14:paraId="2154BA32" w14:textId="2E1138D7" w:rsidR="0064167B" w:rsidRPr="002F4C6F" w:rsidRDefault="035DB839" w:rsidP="59801B34">
            <w:pPr>
              <w:spacing w:before="60"/>
              <w:rPr>
                <w:i/>
                <w:iCs/>
                <w:color w:val="000000" w:themeColor="text1"/>
              </w:rPr>
            </w:pPr>
            <w:r w:rsidRPr="59801B34">
              <w:rPr>
                <w:i/>
                <w:iCs/>
                <w:color w:val="000000" w:themeColor="text1"/>
              </w:rPr>
              <w:t xml:space="preserve">Attainment 8 shows a </w:t>
            </w:r>
            <w:r w:rsidR="58C3E3AF" w:rsidRPr="59801B34">
              <w:rPr>
                <w:i/>
                <w:iCs/>
                <w:color w:val="000000" w:themeColor="text1"/>
              </w:rPr>
              <w:t>consistent gap over the last 3 years</w:t>
            </w:r>
            <w:r w:rsidR="38743B02" w:rsidRPr="59801B34">
              <w:rPr>
                <w:i/>
                <w:iCs/>
                <w:color w:val="000000" w:themeColor="text1"/>
              </w:rPr>
              <w:t>.</w:t>
            </w:r>
          </w:p>
          <w:p w14:paraId="1BD53331" w14:textId="50B7B3D4" w:rsidR="0064167B" w:rsidRPr="002F4C6F" w:rsidRDefault="38743B02" w:rsidP="59801B34">
            <w:pPr>
              <w:spacing w:before="60"/>
              <w:rPr>
                <w:i/>
                <w:iCs/>
                <w:color w:val="000000" w:themeColor="text1"/>
              </w:rPr>
            </w:pPr>
            <w:r w:rsidRPr="59801B34">
              <w:rPr>
                <w:i/>
                <w:iCs/>
                <w:color w:val="000000" w:themeColor="text1"/>
              </w:rPr>
              <w:lastRenderedPageBreak/>
              <w:t xml:space="preserve">However, the </w:t>
            </w:r>
            <w:r w:rsidR="62956A45" w:rsidRPr="59801B34">
              <w:rPr>
                <w:i/>
                <w:iCs/>
                <w:color w:val="000000" w:themeColor="text1"/>
              </w:rPr>
              <w:t xml:space="preserve">Bedford </w:t>
            </w:r>
            <w:r w:rsidRPr="59801B34">
              <w:rPr>
                <w:i/>
                <w:iCs/>
                <w:color w:val="000000" w:themeColor="text1"/>
              </w:rPr>
              <w:t xml:space="preserve">attainment 8 scores of our disadvantaged students are </w:t>
            </w:r>
            <w:r w:rsidR="7BBAF9B4" w:rsidRPr="59801B34">
              <w:rPr>
                <w:i/>
                <w:iCs/>
                <w:color w:val="000000" w:themeColor="text1"/>
              </w:rPr>
              <w:t xml:space="preserve">well above the Local Authority average. </w:t>
            </w:r>
          </w:p>
          <w:tbl>
            <w:tblPr>
              <w:tblStyle w:val="TableGrid"/>
              <w:tblW w:w="0" w:type="auto"/>
              <w:tblLook w:val="06A0" w:firstRow="1" w:lastRow="0" w:firstColumn="1" w:lastColumn="0" w:noHBand="1" w:noVBand="1"/>
            </w:tblPr>
            <w:tblGrid>
              <w:gridCol w:w="2316"/>
              <w:gridCol w:w="2317"/>
              <w:gridCol w:w="2317"/>
              <w:gridCol w:w="2317"/>
            </w:tblGrid>
            <w:tr w:rsidR="59801B34" w14:paraId="5A93A0BE" w14:textId="77777777" w:rsidTr="59801B34">
              <w:trPr>
                <w:trHeight w:val="300"/>
              </w:trPr>
              <w:tc>
                <w:tcPr>
                  <w:tcW w:w="2318" w:type="dxa"/>
                </w:tcPr>
                <w:p w14:paraId="034A4D70" w14:textId="6F9EA624" w:rsidR="58C3E3AF" w:rsidRDefault="58C3E3AF" w:rsidP="59801B34">
                  <w:pPr>
                    <w:rPr>
                      <w:i/>
                      <w:iCs/>
                      <w:color w:val="000000" w:themeColor="text1"/>
                    </w:rPr>
                  </w:pPr>
                  <w:r w:rsidRPr="59801B34">
                    <w:rPr>
                      <w:i/>
                      <w:iCs/>
                      <w:color w:val="000000" w:themeColor="text1"/>
                    </w:rPr>
                    <w:t xml:space="preserve">Attainment 8 </w:t>
                  </w:r>
                </w:p>
              </w:tc>
              <w:tc>
                <w:tcPr>
                  <w:tcW w:w="2318" w:type="dxa"/>
                </w:tcPr>
                <w:p w14:paraId="2077B1B4" w14:textId="1619D724" w:rsidR="58C3E3AF" w:rsidRDefault="58C3E3AF" w:rsidP="59801B34">
                  <w:pPr>
                    <w:rPr>
                      <w:i/>
                      <w:iCs/>
                      <w:color w:val="000000" w:themeColor="text1"/>
                    </w:rPr>
                  </w:pPr>
                  <w:r w:rsidRPr="59801B34">
                    <w:rPr>
                      <w:i/>
                      <w:iCs/>
                      <w:color w:val="000000" w:themeColor="text1"/>
                    </w:rPr>
                    <w:t>2024</w:t>
                  </w:r>
                </w:p>
              </w:tc>
              <w:tc>
                <w:tcPr>
                  <w:tcW w:w="2318" w:type="dxa"/>
                </w:tcPr>
                <w:p w14:paraId="0D388990" w14:textId="092D7DFC" w:rsidR="58C3E3AF" w:rsidRDefault="58C3E3AF" w:rsidP="59801B34">
                  <w:pPr>
                    <w:rPr>
                      <w:i/>
                      <w:iCs/>
                      <w:color w:val="000000" w:themeColor="text1"/>
                    </w:rPr>
                  </w:pPr>
                  <w:r w:rsidRPr="59801B34">
                    <w:rPr>
                      <w:i/>
                      <w:iCs/>
                      <w:color w:val="000000" w:themeColor="text1"/>
                    </w:rPr>
                    <w:t>2023</w:t>
                  </w:r>
                </w:p>
              </w:tc>
              <w:tc>
                <w:tcPr>
                  <w:tcW w:w="2318" w:type="dxa"/>
                </w:tcPr>
                <w:p w14:paraId="13622925" w14:textId="319DE235" w:rsidR="58C3E3AF" w:rsidRDefault="58C3E3AF" w:rsidP="59801B34">
                  <w:pPr>
                    <w:rPr>
                      <w:i/>
                      <w:iCs/>
                      <w:color w:val="000000" w:themeColor="text1"/>
                    </w:rPr>
                  </w:pPr>
                  <w:r w:rsidRPr="59801B34">
                    <w:rPr>
                      <w:i/>
                      <w:iCs/>
                      <w:color w:val="000000" w:themeColor="text1"/>
                    </w:rPr>
                    <w:t>2022</w:t>
                  </w:r>
                </w:p>
              </w:tc>
            </w:tr>
            <w:tr w:rsidR="59801B34" w14:paraId="5A5C474A" w14:textId="77777777" w:rsidTr="59801B34">
              <w:trPr>
                <w:trHeight w:val="300"/>
              </w:trPr>
              <w:tc>
                <w:tcPr>
                  <w:tcW w:w="2318" w:type="dxa"/>
                </w:tcPr>
                <w:p w14:paraId="31A4D660" w14:textId="75A67E2E" w:rsidR="58C3E3AF" w:rsidRDefault="58C3E3AF" w:rsidP="59801B34">
                  <w:pPr>
                    <w:rPr>
                      <w:i/>
                      <w:iCs/>
                      <w:color w:val="000000" w:themeColor="text1"/>
                    </w:rPr>
                  </w:pPr>
                  <w:r w:rsidRPr="59801B34">
                    <w:rPr>
                      <w:i/>
                      <w:iCs/>
                      <w:color w:val="000000" w:themeColor="text1"/>
                    </w:rPr>
                    <w:t>PP</w:t>
                  </w:r>
                </w:p>
              </w:tc>
              <w:tc>
                <w:tcPr>
                  <w:tcW w:w="2318" w:type="dxa"/>
                </w:tcPr>
                <w:p w14:paraId="598428F6" w14:textId="531E33D8" w:rsidR="58C3E3AF" w:rsidRDefault="58C3E3AF" w:rsidP="59801B34">
                  <w:pPr>
                    <w:rPr>
                      <w:i/>
                      <w:iCs/>
                      <w:color w:val="000000" w:themeColor="text1"/>
                    </w:rPr>
                  </w:pPr>
                  <w:r w:rsidRPr="59801B34">
                    <w:rPr>
                      <w:i/>
                      <w:iCs/>
                      <w:color w:val="000000" w:themeColor="text1"/>
                    </w:rPr>
                    <w:t>35.</w:t>
                  </w:r>
                  <w:r w:rsidR="6C172429" w:rsidRPr="59801B34">
                    <w:rPr>
                      <w:i/>
                      <w:iCs/>
                      <w:color w:val="000000" w:themeColor="text1"/>
                    </w:rPr>
                    <w:t>5</w:t>
                  </w:r>
                </w:p>
              </w:tc>
              <w:tc>
                <w:tcPr>
                  <w:tcW w:w="2318" w:type="dxa"/>
                </w:tcPr>
                <w:p w14:paraId="40B9FB51" w14:textId="0D024230" w:rsidR="58C3E3AF" w:rsidRDefault="58C3E3AF" w:rsidP="59801B34">
                  <w:pPr>
                    <w:rPr>
                      <w:i/>
                      <w:iCs/>
                      <w:color w:val="000000" w:themeColor="text1"/>
                    </w:rPr>
                  </w:pPr>
                  <w:r w:rsidRPr="59801B34">
                    <w:rPr>
                      <w:i/>
                      <w:iCs/>
                      <w:color w:val="000000" w:themeColor="text1"/>
                    </w:rPr>
                    <w:t>28.7</w:t>
                  </w:r>
                </w:p>
              </w:tc>
              <w:tc>
                <w:tcPr>
                  <w:tcW w:w="2318" w:type="dxa"/>
                </w:tcPr>
                <w:p w14:paraId="186EDD03" w14:textId="0F71BEF3" w:rsidR="58C3E3AF" w:rsidRDefault="58C3E3AF" w:rsidP="59801B34">
                  <w:pPr>
                    <w:rPr>
                      <w:i/>
                      <w:iCs/>
                      <w:color w:val="000000" w:themeColor="text1"/>
                    </w:rPr>
                  </w:pPr>
                  <w:r w:rsidRPr="59801B34">
                    <w:rPr>
                      <w:i/>
                      <w:iCs/>
                      <w:color w:val="000000" w:themeColor="text1"/>
                    </w:rPr>
                    <w:t>35.2</w:t>
                  </w:r>
                </w:p>
              </w:tc>
            </w:tr>
            <w:tr w:rsidR="59801B34" w14:paraId="6EF67ADC" w14:textId="77777777" w:rsidTr="59801B34">
              <w:trPr>
                <w:trHeight w:val="300"/>
              </w:trPr>
              <w:tc>
                <w:tcPr>
                  <w:tcW w:w="2318" w:type="dxa"/>
                </w:tcPr>
                <w:p w14:paraId="3C6E4DC9" w14:textId="62FEEFF1" w:rsidR="58C3E3AF" w:rsidRDefault="58C3E3AF" w:rsidP="59801B34">
                  <w:pPr>
                    <w:rPr>
                      <w:i/>
                      <w:iCs/>
                      <w:color w:val="000000" w:themeColor="text1"/>
                    </w:rPr>
                  </w:pPr>
                  <w:r w:rsidRPr="59801B34">
                    <w:rPr>
                      <w:i/>
                      <w:iCs/>
                      <w:color w:val="000000" w:themeColor="text1"/>
                    </w:rPr>
                    <w:t>Non-PP</w:t>
                  </w:r>
                </w:p>
              </w:tc>
              <w:tc>
                <w:tcPr>
                  <w:tcW w:w="2318" w:type="dxa"/>
                </w:tcPr>
                <w:p w14:paraId="654BFF82" w14:textId="6709B2E4" w:rsidR="58C3E3AF" w:rsidRDefault="58C3E3AF" w:rsidP="59801B34">
                  <w:pPr>
                    <w:rPr>
                      <w:i/>
                      <w:iCs/>
                      <w:color w:val="000000" w:themeColor="text1"/>
                    </w:rPr>
                  </w:pPr>
                  <w:r w:rsidRPr="59801B34">
                    <w:rPr>
                      <w:i/>
                      <w:iCs/>
                      <w:color w:val="000000" w:themeColor="text1"/>
                    </w:rPr>
                    <w:t>46.</w:t>
                  </w:r>
                  <w:r w:rsidR="37E7EFCB" w:rsidRPr="59801B34">
                    <w:rPr>
                      <w:i/>
                      <w:iCs/>
                      <w:color w:val="000000" w:themeColor="text1"/>
                    </w:rPr>
                    <w:t>3</w:t>
                  </w:r>
                </w:p>
              </w:tc>
              <w:tc>
                <w:tcPr>
                  <w:tcW w:w="2318" w:type="dxa"/>
                </w:tcPr>
                <w:p w14:paraId="16BD2BA0" w14:textId="4DE80953" w:rsidR="58C3E3AF" w:rsidRDefault="58C3E3AF" w:rsidP="59801B34">
                  <w:pPr>
                    <w:rPr>
                      <w:i/>
                      <w:iCs/>
                      <w:color w:val="000000" w:themeColor="text1"/>
                    </w:rPr>
                  </w:pPr>
                  <w:r w:rsidRPr="59801B34">
                    <w:rPr>
                      <w:i/>
                      <w:iCs/>
                      <w:color w:val="000000" w:themeColor="text1"/>
                    </w:rPr>
                    <w:t>40.8</w:t>
                  </w:r>
                </w:p>
              </w:tc>
              <w:tc>
                <w:tcPr>
                  <w:tcW w:w="2318" w:type="dxa"/>
                </w:tcPr>
                <w:p w14:paraId="58D79856" w14:textId="7EA775CF" w:rsidR="58C3E3AF" w:rsidRDefault="58C3E3AF" w:rsidP="59801B34">
                  <w:pPr>
                    <w:rPr>
                      <w:i/>
                      <w:iCs/>
                      <w:color w:val="000000" w:themeColor="text1"/>
                    </w:rPr>
                  </w:pPr>
                  <w:r w:rsidRPr="59801B34">
                    <w:rPr>
                      <w:i/>
                      <w:iCs/>
                      <w:color w:val="000000" w:themeColor="text1"/>
                    </w:rPr>
                    <w:t>46.3</w:t>
                  </w:r>
                </w:p>
              </w:tc>
            </w:tr>
          </w:tbl>
          <w:p w14:paraId="4E1F0488" w14:textId="3351C56B" w:rsidR="0064167B" w:rsidRPr="002F4C6F" w:rsidRDefault="0064167B" w:rsidP="59801B34">
            <w:pPr>
              <w:spacing w:before="60"/>
              <w:rPr>
                <w:i/>
                <w:iCs/>
                <w:color w:val="000000" w:themeColor="text1"/>
              </w:rPr>
            </w:pPr>
          </w:p>
          <w:p w14:paraId="71B4D447" w14:textId="40E1780E" w:rsidR="0064167B" w:rsidRPr="002F4C6F" w:rsidRDefault="5FE91965" w:rsidP="59801B34">
            <w:pPr>
              <w:spacing w:before="60"/>
              <w:rPr>
                <w:i/>
                <w:iCs/>
                <w:color w:val="000000" w:themeColor="text1"/>
              </w:rPr>
            </w:pPr>
            <w:r w:rsidRPr="59801B34">
              <w:rPr>
                <w:i/>
                <w:iCs/>
                <w:color w:val="000000" w:themeColor="text1"/>
              </w:rPr>
              <w:t xml:space="preserve">5+ in Maths and </w:t>
            </w:r>
            <w:proofErr w:type="spellStart"/>
            <w:r w:rsidRPr="59801B34">
              <w:rPr>
                <w:i/>
                <w:iCs/>
                <w:color w:val="000000" w:themeColor="text1"/>
              </w:rPr>
              <w:t>Eng</w:t>
            </w:r>
            <w:proofErr w:type="spellEnd"/>
            <w:r w:rsidRPr="59801B34">
              <w:rPr>
                <w:i/>
                <w:iCs/>
                <w:color w:val="000000" w:themeColor="text1"/>
              </w:rPr>
              <w:t xml:space="preserve"> </w:t>
            </w:r>
          </w:p>
          <w:p w14:paraId="795AD8F6" w14:textId="7435E2D9" w:rsidR="0064167B" w:rsidRPr="002F4C6F" w:rsidRDefault="646F1198" w:rsidP="59801B34">
            <w:pPr>
              <w:spacing w:before="60"/>
              <w:rPr>
                <w:i/>
                <w:iCs/>
                <w:color w:val="000000" w:themeColor="text1"/>
              </w:rPr>
            </w:pPr>
            <w:r w:rsidRPr="59801B34">
              <w:rPr>
                <w:i/>
                <w:iCs/>
                <w:color w:val="000000" w:themeColor="text1"/>
              </w:rPr>
              <w:t xml:space="preserve">Although </w:t>
            </w:r>
            <w:r w:rsidR="499F2CA1" w:rsidRPr="59801B34">
              <w:rPr>
                <w:i/>
                <w:iCs/>
                <w:color w:val="000000" w:themeColor="text1"/>
              </w:rPr>
              <w:t>this gap</w:t>
            </w:r>
            <w:r w:rsidRPr="59801B34">
              <w:rPr>
                <w:i/>
                <w:iCs/>
                <w:color w:val="000000" w:themeColor="text1"/>
              </w:rPr>
              <w:t xml:space="preserve"> remains</w:t>
            </w:r>
            <w:r w:rsidR="7ACF1A26" w:rsidRPr="59801B34">
              <w:rPr>
                <w:i/>
                <w:iCs/>
                <w:color w:val="000000" w:themeColor="text1"/>
              </w:rPr>
              <w:t>,</w:t>
            </w:r>
            <w:r w:rsidRPr="59801B34">
              <w:rPr>
                <w:i/>
                <w:iCs/>
                <w:color w:val="000000" w:themeColor="text1"/>
              </w:rPr>
              <w:t xml:space="preserve"> Bedford’s % 5+ in English and Maths was the</w:t>
            </w:r>
            <w:r w:rsidR="3C74E790" w:rsidRPr="59801B34">
              <w:rPr>
                <w:i/>
                <w:iCs/>
                <w:color w:val="000000" w:themeColor="text1"/>
              </w:rPr>
              <w:t xml:space="preserve"> second </w:t>
            </w:r>
            <w:r w:rsidRPr="59801B34">
              <w:rPr>
                <w:i/>
                <w:iCs/>
                <w:color w:val="000000" w:themeColor="text1"/>
              </w:rPr>
              <w:t xml:space="preserve">highest in the Wigan borough for the Class of 2024. </w:t>
            </w:r>
          </w:p>
          <w:tbl>
            <w:tblPr>
              <w:tblStyle w:val="TableGrid"/>
              <w:tblW w:w="0" w:type="auto"/>
              <w:tblLook w:val="06A0" w:firstRow="1" w:lastRow="0" w:firstColumn="1" w:lastColumn="0" w:noHBand="1" w:noVBand="1"/>
            </w:tblPr>
            <w:tblGrid>
              <w:gridCol w:w="2316"/>
              <w:gridCol w:w="2317"/>
              <w:gridCol w:w="2317"/>
              <w:gridCol w:w="2317"/>
            </w:tblGrid>
            <w:tr w:rsidR="59801B34" w14:paraId="41E08D12" w14:textId="77777777" w:rsidTr="59801B34">
              <w:trPr>
                <w:trHeight w:val="300"/>
              </w:trPr>
              <w:tc>
                <w:tcPr>
                  <w:tcW w:w="2318" w:type="dxa"/>
                </w:tcPr>
                <w:p w14:paraId="07204C40" w14:textId="3FBA9146" w:rsidR="59801B34" w:rsidRDefault="59801B34" w:rsidP="59801B34">
                  <w:pPr>
                    <w:rPr>
                      <w:i/>
                      <w:iCs/>
                      <w:color w:val="000000" w:themeColor="text1"/>
                    </w:rPr>
                  </w:pPr>
                </w:p>
              </w:tc>
              <w:tc>
                <w:tcPr>
                  <w:tcW w:w="2318" w:type="dxa"/>
                </w:tcPr>
                <w:p w14:paraId="6FE5CFD8" w14:textId="05994B50" w:rsidR="5FE91965" w:rsidRDefault="5FE91965" w:rsidP="59801B34">
                  <w:pPr>
                    <w:rPr>
                      <w:i/>
                      <w:iCs/>
                      <w:color w:val="000000" w:themeColor="text1"/>
                    </w:rPr>
                  </w:pPr>
                  <w:r w:rsidRPr="59801B34">
                    <w:rPr>
                      <w:i/>
                      <w:iCs/>
                      <w:color w:val="000000" w:themeColor="text1"/>
                    </w:rPr>
                    <w:t>2024</w:t>
                  </w:r>
                </w:p>
              </w:tc>
              <w:tc>
                <w:tcPr>
                  <w:tcW w:w="2318" w:type="dxa"/>
                </w:tcPr>
                <w:p w14:paraId="3F1069C7" w14:textId="7D2776E9" w:rsidR="5FE91965" w:rsidRDefault="5FE91965" w:rsidP="59801B34">
                  <w:pPr>
                    <w:rPr>
                      <w:i/>
                      <w:iCs/>
                      <w:color w:val="000000" w:themeColor="text1"/>
                    </w:rPr>
                  </w:pPr>
                  <w:r w:rsidRPr="59801B34">
                    <w:rPr>
                      <w:i/>
                      <w:iCs/>
                      <w:color w:val="000000" w:themeColor="text1"/>
                    </w:rPr>
                    <w:t>2023</w:t>
                  </w:r>
                </w:p>
              </w:tc>
              <w:tc>
                <w:tcPr>
                  <w:tcW w:w="2318" w:type="dxa"/>
                </w:tcPr>
                <w:p w14:paraId="7ADDBF6D" w14:textId="2BE2A82D" w:rsidR="5FE91965" w:rsidRDefault="5FE91965" w:rsidP="59801B34">
                  <w:pPr>
                    <w:rPr>
                      <w:i/>
                      <w:iCs/>
                      <w:color w:val="000000" w:themeColor="text1"/>
                    </w:rPr>
                  </w:pPr>
                  <w:r w:rsidRPr="59801B34">
                    <w:rPr>
                      <w:i/>
                      <w:iCs/>
                      <w:color w:val="000000" w:themeColor="text1"/>
                    </w:rPr>
                    <w:t>2022</w:t>
                  </w:r>
                </w:p>
              </w:tc>
            </w:tr>
            <w:tr w:rsidR="59801B34" w14:paraId="66C6E35C" w14:textId="77777777" w:rsidTr="59801B34">
              <w:trPr>
                <w:trHeight w:val="300"/>
              </w:trPr>
              <w:tc>
                <w:tcPr>
                  <w:tcW w:w="2318" w:type="dxa"/>
                </w:tcPr>
                <w:p w14:paraId="31C9D1E8" w14:textId="6A009893" w:rsidR="5FE91965" w:rsidRDefault="5FE91965" w:rsidP="59801B34">
                  <w:pPr>
                    <w:rPr>
                      <w:i/>
                      <w:iCs/>
                      <w:color w:val="000000" w:themeColor="text1"/>
                    </w:rPr>
                  </w:pPr>
                  <w:r w:rsidRPr="59801B34">
                    <w:rPr>
                      <w:i/>
                      <w:iCs/>
                      <w:color w:val="000000" w:themeColor="text1"/>
                    </w:rPr>
                    <w:t>PP</w:t>
                  </w:r>
                </w:p>
              </w:tc>
              <w:tc>
                <w:tcPr>
                  <w:tcW w:w="2318" w:type="dxa"/>
                </w:tcPr>
                <w:p w14:paraId="14C1D7C0" w14:textId="4D4D6BCB" w:rsidR="5FE91965" w:rsidRDefault="5FE91965" w:rsidP="59801B34">
                  <w:pPr>
                    <w:rPr>
                      <w:i/>
                      <w:iCs/>
                      <w:color w:val="000000" w:themeColor="text1"/>
                    </w:rPr>
                  </w:pPr>
                  <w:r w:rsidRPr="59801B34">
                    <w:rPr>
                      <w:i/>
                      <w:iCs/>
                      <w:color w:val="000000" w:themeColor="text1"/>
                    </w:rPr>
                    <w:t>30%</w:t>
                  </w:r>
                </w:p>
              </w:tc>
              <w:tc>
                <w:tcPr>
                  <w:tcW w:w="2318" w:type="dxa"/>
                </w:tcPr>
                <w:p w14:paraId="65290280" w14:textId="169D4DA7" w:rsidR="5FE91965" w:rsidRDefault="5FE91965" w:rsidP="59801B34">
                  <w:pPr>
                    <w:rPr>
                      <w:i/>
                      <w:iCs/>
                      <w:color w:val="000000" w:themeColor="text1"/>
                    </w:rPr>
                  </w:pPr>
                  <w:r w:rsidRPr="59801B34">
                    <w:rPr>
                      <w:i/>
                      <w:iCs/>
                      <w:color w:val="000000" w:themeColor="text1"/>
                    </w:rPr>
                    <w:t>18%</w:t>
                  </w:r>
                </w:p>
              </w:tc>
              <w:tc>
                <w:tcPr>
                  <w:tcW w:w="2318" w:type="dxa"/>
                </w:tcPr>
                <w:p w14:paraId="1F13D3DE" w14:textId="49ECD13E" w:rsidR="5FE91965" w:rsidRDefault="5FE91965" w:rsidP="59801B34">
                  <w:pPr>
                    <w:rPr>
                      <w:i/>
                      <w:iCs/>
                      <w:color w:val="000000" w:themeColor="text1"/>
                    </w:rPr>
                  </w:pPr>
                  <w:r w:rsidRPr="59801B34">
                    <w:rPr>
                      <w:i/>
                      <w:iCs/>
                      <w:color w:val="000000" w:themeColor="text1"/>
                    </w:rPr>
                    <w:t>31%</w:t>
                  </w:r>
                </w:p>
              </w:tc>
            </w:tr>
            <w:tr w:rsidR="59801B34" w14:paraId="40F84997" w14:textId="77777777" w:rsidTr="59801B34">
              <w:trPr>
                <w:trHeight w:val="300"/>
              </w:trPr>
              <w:tc>
                <w:tcPr>
                  <w:tcW w:w="2318" w:type="dxa"/>
                </w:tcPr>
                <w:p w14:paraId="5B25B803" w14:textId="6F3A5420" w:rsidR="5FE91965" w:rsidRDefault="5FE91965" w:rsidP="59801B34">
                  <w:pPr>
                    <w:rPr>
                      <w:i/>
                      <w:iCs/>
                      <w:color w:val="000000" w:themeColor="text1"/>
                    </w:rPr>
                  </w:pPr>
                  <w:r w:rsidRPr="59801B34">
                    <w:rPr>
                      <w:i/>
                      <w:iCs/>
                      <w:color w:val="000000" w:themeColor="text1"/>
                    </w:rPr>
                    <w:t>Non-PP</w:t>
                  </w:r>
                </w:p>
              </w:tc>
              <w:tc>
                <w:tcPr>
                  <w:tcW w:w="2318" w:type="dxa"/>
                </w:tcPr>
                <w:p w14:paraId="1A8D1FB2" w14:textId="418A0893" w:rsidR="5FE91965" w:rsidRDefault="5FE91965" w:rsidP="59801B34">
                  <w:pPr>
                    <w:rPr>
                      <w:i/>
                      <w:iCs/>
                      <w:color w:val="000000" w:themeColor="text1"/>
                    </w:rPr>
                  </w:pPr>
                  <w:r w:rsidRPr="59801B34">
                    <w:rPr>
                      <w:i/>
                      <w:iCs/>
                      <w:color w:val="000000" w:themeColor="text1"/>
                    </w:rPr>
                    <w:t>4</w:t>
                  </w:r>
                  <w:r w:rsidR="68228519" w:rsidRPr="59801B34">
                    <w:rPr>
                      <w:i/>
                      <w:iCs/>
                      <w:color w:val="000000" w:themeColor="text1"/>
                    </w:rPr>
                    <w:t>6</w:t>
                  </w:r>
                  <w:r w:rsidRPr="59801B34">
                    <w:rPr>
                      <w:i/>
                      <w:iCs/>
                      <w:color w:val="000000" w:themeColor="text1"/>
                    </w:rPr>
                    <w:t>%</w:t>
                  </w:r>
                </w:p>
              </w:tc>
              <w:tc>
                <w:tcPr>
                  <w:tcW w:w="2318" w:type="dxa"/>
                </w:tcPr>
                <w:p w14:paraId="4392ED10" w14:textId="183AC217" w:rsidR="5FE91965" w:rsidRDefault="5FE91965" w:rsidP="59801B34">
                  <w:pPr>
                    <w:rPr>
                      <w:i/>
                      <w:iCs/>
                      <w:color w:val="000000" w:themeColor="text1"/>
                    </w:rPr>
                  </w:pPr>
                  <w:r w:rsidRPr="59801B34">
                    <w:rPr>
                      <w:i/>
                      <w:iCs/>
                      <w:color w:val="000000" w:themeColor="text1"/>
                    </w:rPr>
                    <w:t>32%</w:t>
                  </w:r>
                </w:p>
              </w:tc>
              <w:tc>
                <w:tcPr>
                  <w:tcW w:w="2318" w:type="dxa"/>
                </w:tcPr>
                <w:p w14:paraId="12809CB3" w14:textId="557C25A6" w:rsidR="5FE91965" w:rsidRDefault="5FE91965" w:rsidP="59801B34">
                  <w:pPr>
                    <w:rPr>
                      <w:i/>
                      <w:iCs/>
                      <w:color w:val="000000" w:themeColor="text1"/>
                    </w:rPr>
                  </w:pPr>
                  <w:r w:rsidRPr="59801B34">
                    <w:rPr>
                      <w:i/>
                      <w:iCs/>
                      <w:color w:val="000000" w:themeColor="text1"/>
                    </w:rPr>
                    <w:t>46%</w:t>
                  </w:r>
                </w:p>
              </w:tc>
            </w:tr>
          </w:tbl>
          <w:p w14:paraId="60FB90B3" w14:textId="0C1BA580" w:rsidR="0064167B" w:rsidRPr="002F4C6F" w:rsidRDefault="0064167B" w:rsidP="59801B34">
            <w:pPr>
              <w:spacing w:before="60"/>
              <w:rPr>
                <w:i/>
                <w:iCs/>
                <w:color w:val="000000" w:themeColor="text1"/>
              </w:rPr>
            </w:pPr>
          </w:p>
          <w:p w14:paraId="22486EFB" w14:textId="0C06325F" w:rsidR="0064167B" w:rsidRPr="002F4C6F" w:rsidRDefault="4731110E" w:rsidP="59801B34">
            <w:pPr>
              <w:spacing w:before="60"/>
              <w:rPr>
                <w:i/>
                <w:iCs/>
                <w:color w:val="000000" w:themeColor="text1"/>
              </w:rPr>
            </w:pPr>
            <w:r w:rsidRPr="59801B34">
              <w:rPr>
                <w:i/>
                <w:iCs/>
                <w:color w:val="000000" w:themeColor="text1"/>
              </w:rPr>
              <w:t>There are signs that gaps are narrowing for 4+ in English and Maths especially when comparing 2024 with 2023.</w:t>
            </w:r>
          </w:p>
          <w:p w14:paraId="41144B2F" w14:textId="535E58EC" w:rsidR="0064167B" w:rsidRPr="002F4C6F" w:rsidRDefault="00C1CFE9" w:rsidP="59801B34">
            <w:pPr>
              <w:spacing w:before="60"/>
              <w:rPr>
                <w:i/>
                <w:iCs/>
                <w:color w:val="000000" w:themeColor="text1"/>
              </w:rPr>
            </w:pPr>
            <w:r w:rsidRPr="59801B34">
              <w:rPr>
                <w:i/>
                <w:iCs/>
                <w:color w:val="000000" w:themeColor="text1"/>
              </w:rPr>
              <w:t xml:space="preserve">4+ in English and Maths </w:t>
            </w:r>
          </w:p>
          <w:tbl>
            <w:tblPr>
              <w:tblStyle w:val="TableGrid"/>
              <w:tblW w:w="0" w:type="auto"/>
              <w:tblLook w:val="06A0" w:firstRow="1" w:lastRow="0" w:firstColumn="1" w:lastColumn="0" w:noHBand="1" w:noVBand="1"/>
            </w:tblPr>
            <w:tblGrid>
              <w:gridCol w:w="2316"/>
              <w:gridCol w:w="2317"/>
              <w:gridCol w:w="2317"/>
              <w:gridCol w:w="2317"/>
            </w:tblGrid>
            <w:tr w:rsidR="59801B34" w14:paraId="699A9234" w14:textId="77777777" w:rsidTr="59801B34">
              <w:trPr>
                <w:trHeight w:val="300"/>
              </w:trPr>
              <w:tc>
                <w:tcPr>
                  <w:tcW w:w="2318" w:type="dxa"/>
                </w:tcPr>
                <w:p w14:paraId="0DC12BE8" w14:textId="5DC1CFDB" w:rsidR="59801B34" w:rsidRDefault="59801B34" w:rsidP="59801B34">
                  <w:pPr>
                    <w:rPr>
                      <w:i/>
                      <w:iCs/>
                      <w:color w:val="000000" w:themeColor="text1"/>
                    </w:rPr>
                  </w:pPr>
                </w:p>
              </w:tc>
              <w:tc>
                <w:tcPr>
                  <w:tcW w:w="2318" w:type="dxa"/>
                </w:tcPr>
                <w:p w14:paraId="629D2D07" w14:textId="78607C92" w:rsidR="00C1CFE9" w:rsidRDefault="00C1CFE9" w:rsidP="59801B34">
                  <w:pPr>
                    <w:rPr>
                      <w:i/>
                      <w:iCs/>
                      <w:color w:val="000000" w:themeColor="text1"/>
                    </w:rPr>
                  </w:pPr>
                  <w:r w:rsidRPr="59801B34">
                    <w:rPr>
                      <w:i/>
                      <w:iCs/>
                      <w:color w:val="000000" w:themeColor="text1"/>
                    </w:rPr>
                    <w:t>2024</w:t>
                  </w:r>
                </w:p>
              </w:tc>
              <w:tc>
                <w:tcPr>
                  <w:tcW w:w="2318" w:type="dxa"/>
                </w:tcPr>
                <w:p w14:paraId="161F334E" w14:textId="49CDF028" w:rsidR="00C1CFE9" w:rsidRDefault="00C1CFE9" w:rsidP="59801B34">
                  <w:pPr>
                    <w:rPr>
                      <w:i/>
                      <w:iCs/>
                      <w:color w:val="000000" w:themeColor="text1"/>
                    </w:rPr>
                  </w:pPr>
                  <w:r w:rsidRPr="59801B34">
                    <w:rPr>
                      <w:i/>
                      <w:iCs/>
                      <w:color w:val="000000" w:themeColor="text1"/>
                    </w:rPr>
                    <w:t>2023</w:t>
                  </w:r>
                </w:p>
              </w:tc>
              <w:tc>
                <w:tcPr>
                  <w:tcW w:w="2318" w:type="dxa"/>
                </w:tcPr>
                <w:p w14:paraId="79A27E5B" w14:textId="334B3A55" w:rsidR="00C1CFE9" w:rsidRDefault="00C1CFE9" w:rsidP="59801B34">
                  <w:pPr>
                    <w:rPr>
                      <w:i/>
                      <w:iCs/>
                      <w:color w:val="000000" w:themeColor="text1"/>
                    </w:rPr>
                  </w:pPr>
                  <w:r w:rsidRPr="59801B34">
                    <w:rPr>
                      <w:i/>
                      <w:iCs/>
                      <w:color w:val="000000" w:themeColor="text1"/>
                    </w:rPr>
                    <w:t>2022</w:t>
                  </w:r>
                </w:p>
              </w:tc>
            </w:tr>
            <w:tr w:rsidR="59801B34" w14:paraId="43FC651A" w14:textId="77777777" w:rsidTr="59801B34">
              <w:trPr>
                <w:trHeight w:val="300"/>
              </w:trPr>
              <w:tc>
                <w:tcPr>
                  <w:tcW w:w="2318" w:type="dxa"/>
                </w:tcPr>
                <w:p w14:paraId="1FFE82E1" w14:textId="52B71F64" w:rsidR="00C1CFE9" w:rsidRDefault="00C1CFE9" w:rsidP="59801B34">
                  <w:pPr>
                    <w:rPr>
                      <w:i/>
                      <w:iCs/>
                      <w:color w:val="000000" w:themeColor="text1"/>
                    </w:rPr>
                  </w:pPr>
                  <w:r w:rsidRPr="59801B34">
                    <w:rPr>
                      <w:i/>
                      <w:iCs/>
                      <w:color w:val="000000" w:themeColor="text1"/>
                    </w:rPr>
                    <w:t>PP</w:t>
                  </w:r>
                </w:p>
              </w:tc>
              <w:tc>
                <w:tcPr>
                  <w:tcW w:w="2318" w:type="dxa"/>
                </w:tcPr>
                <w:p w14:paraId="0AB4FADA" w14:textId="56153321" w:rsidR="00C1CFE9" w:rsidRDefault="00C1CFE9" w:rsidP="59801B34">
                  <w:pPr>
                    <w:rPr>
                      <w:i/>
                      <w:iCs/>
                      <w:color w:val="000000" w:themeColor="text1"/>
                    </w:rPr>
                  </w:pPr>
                  <w:r w:rsidRPr="59801B34">
                    <w:rPr>
                      <w:i/>
                      <w:iCs/>
                      <w:color w:val="000000" w:themeColor="text1"/>
                    </w:rPr>
                    <w:t>5</w:t>
                  </w:r>
                  <w:r w:rsidR="67B72595" w:rsidRPr="59801B34">
                    <w:rPr>
                      <w:i/>
                      <w:iCs/>
                      <w:color w:val="000000" w:themeColor="text1"/>
                    </w:rPr>
                    <w:t>0</w:t>
                  </w:r>
                  <w:r w:rsidRPr="59801B34">
                    <w:rPr>
                      <w:i/>
                      <w:iCs/>
                      <w:color w:val="000000" w:themeColor="text1"/>
                    </w:rPr>
                    <w:t>%</w:t>
                  </w:r>
                </w:p>
              </w:tc>
              <w:tc>
                <w:tcPr>
                  <w:tcW w:w="2318" w:type="dxa"/>
                </w:tcPr>
                <w:p w14:paraId="111B6709" w14:textId="0A39E6BD" w:rsidR="00C1CFE9" w:rsidRDefault="00C1CFE9" w:rsidP="59801B34">
                  <w:pPr>
                    <w:rPr>
                      <w:i/>
                      <w:iCs/>
                      <w:color w:val="000000" w:themeColor="text1"/>
                    </w:rPr>
                  </w:pPr>
                  <w:r w:rsidRPr="59801B34">
                    <w:rPr>
                      <w:i/>
                      <w:iCs/>
                      <w:color w:val="000000" w:themeColor="text1"/>
                    </w:rPr>
                    <w:t>31%</w:t>
                  </w:r>
                </w:p>
              </w:tc>
              <w:tc>
                <w:tcPr>
                  <w:tcW w:w="2318" w:type="dxa"/>
                </w:tcPr>
                <w:p w14:paraId="5B6A7C81" w14:textId="77352085" w:rsidR="00C1CFE9" w:rsidRDefault="00C1CFE9" w:rsidP="59801B34">
                  <w:pPr>
                    <w:rPr>
                      <w:i/>
                      <w:iCs/>
                      <w:color w:val="000000" w:themeColor="text1"/>
                    </w:rPr>
                  </w:pPr>
                  <w:r w:rsidRPr="59801B34">
                    <w:rPr>
                      <w:i/>
                      <w:iCs/>
                      <w:color w:val="000000" w:themeColor="text1"/>
                    </w:rPr>
                    <w:t>55%</w:t>
                  </w:r>
                </w:p>
              </w:tc>
            </w:tr>
            <w:tr w:rsidR="59801B34" w14:paraId="3D82D030" w14:textId="77777777" w:rsidTr="59801B34">
              <w:trPr>
                <w:trHeight w:val="300"/>
              </w:trPr>
              <w:tc>
                <w:tcPr>
                  <w:tcW w:w="2318" w:type="dxa"/>
                </w:tcPr>
                <w:p w14:paraId="36D301F9" w14:textId="75918AE1" w:rsidR="00C1CFE9" w:rsidRDefault="00C1CFE9" w:rsidP="59801B34">
                  <w:pPr>
                    <w:rPr>
                      <w:i/>
                      <w:iCs/>
                      <w:color w:val="000000" w:themeColor="text1"/>
                    </w:rPr>
                  </w:pPr>
                  <w:r w:rsidRPr="59801B34">
                    <w:rPr>
                      <w:i/>
                      <w:iCs/>
                      <w:color w:val="000000" w:themeColor="text1"/>
                    </w:rPr>
                    <w:t>Non-PP</w:t>
                  </w:r>
                </w:p>
              </w:tc>
              <w:tc>
                <w:tcPr>
                  <w:tcW w:w="2318" w:type="dxa"/>
                </w:tcPr>
                <w:p w14:paraId="73BBB23C" w14:textId="1C9B590F" w:rsidR="00C1CFE9" w:rsidRDefault="00C1CFE9" w:rsidP="59801B34">
                  <w:pPr>
                    <w:rPr>
                      <w:i/>
                      <w:iCs/>
                      <w:color w:val="000000" w:themeColor="text1"/>
                    </w:rPr>
                  </w:pPr>
                  <w:r w:rsidRPr="59801B34">
                    <w:rPr>
                      <w:i/>
                      <w:iCs/>
                      <w:color w:val="000000" w:themeColor="text1"/>
                    </w:rPr>
                    <w:t>6</w:t>
                  </w:r>
                  <w:r w:rsidR="3D2774AD" w:rsidRPr="59801B34">
                    <w:rPr>
                      <w:i/>
                      <w:iCs/>
                      <w:color w:val="000000" w:themeColor="text1"/>
                    </w:rPr>
                    <w:t>6</w:t>
                  </w:r>
                  <w:r w:rsidRPr="59801B34">
                    <w:rPr>
                      <w:i/>
                      <w:iCs/>
                      <w:color w:val="000000" w:themeColor="text1"/>
                    </w:rPr>
                    <w:t>%</w:t>
                  </w:r>
                </w:p>
              </w:tc>
              <w:tc>
                <w:tcPr>
                  <w:tcW w:w="2318" w:type="dxa"/>
                </w:tcPr>
                <w:p w14:paraId="09585A99" w14:textId="0BC3D672" w:rsidR="00C1CFE9" w:rsidRDefault="00C1CFE9" w:rsidP="59801B34">
                  <w:pPr>
                    <w:rPr>
                      <w:i/>
                      <w:iCs/>
                      <w:color w:val="000000" w:themeColor="text1"/>
                    </w:rPr>
                  </w:pPr>
                  <w:r w:rsidRPr="59801B34">
                    <w:rPr>
                      <w:i/>
                      <w:iCs/>
                      <w:color w:val="000000" w:themeColor="text1"/>
                    </w:rPr>
                    <w:t>68%</w:t>
                  </w:r>
                </w:p>
              </w:tc>
              <w:tc>
                <w:tcPr>
                  <w:tcW w:w="2318" w:type="dxa"/>
                </w:tcPr>
                <w:p w14:paraId="73B43912" w14:textId="7FE68214" w:rsidR="00C1CFE9" w:rsidRDefault="00C1CFE9" w:rsidP="59801B34">
                  <w:pPr>
                    <w:rPr>
                      <w:i/>
                      <w:iCs/>
                      <w:color w:val="000000" w:themeColor="text1"/>
                    </w:rPr>
                  </w:pPr>
                  <w:r w:rsidRPr="59801B34">
                    <w:rPr>
                      <w:i/>
                      <w:iCs/>
                      <w:color w:val="000000" w:themeColor="text1"/>
                    </w:rPr>
                    <w:t>69%</w:t>
                  </w:r>
                </w:p>
              </w:tc>
            </w:tr>
          </w:tbl>
          <w:p w14:paraId="36137DC1" w14:textId="4DAD8DCC" w:rsidR="0064167B" w:rsidRPr="002F4C6F" w:rsidRDefault="0064167B" w:rsidP="59801B34">
            <w:pPr>
              <w:spacing w:before="60"/>
              <w:rPr>
                <w:i/>
                <w:iCs/>
                <w:color w:val="000000" w:themeColor="text1"/>
              </w:rPr>
            </w:pPr>
          </w:p>
          <w:p w14:paraId="0380073D" w14:textId="3C9642E0" w:rsidR="0064167B" w:rsidRPr="002F4C6F" w:rsidRDefault="00C1CFE9" w:rsidP="59801B34">
            <w:pPr>
              <w:spacing w:before="60"/>
              <w:rPr>
                <w:i/>
                <w:iCs/>
                <w:color w:val="000000" w:themeColor="text1"/>
              </w:rPr>
            </w:pPr>
            <w:r w:rsidRPr="59801B34">
              <w:rPr>
                <w:i/>
                <w:iCs/>
                <w:color w:val="000000" w:themeColor="text1"/>
              </w:rPr>
              <w:t>4+ in English</w:t>
            </w:r>
          </w:p>
          <w:tbl>
            <w:tblPr>
              <w:tblStyle w:val="TableGrid"/>
              <w:tblW w:w="0" w:type="auto"/>
              <w:tblLook w:val="06A0" w:firstRow="1" w:lastRow="0" w:firstColumn="1" w:lastColumn="0" w:noHBand="1" w:noVBand="1"/>
            </w:tblPr>
            <w:tblGrid>
              <w:gridCol w:w="2316"/>
              <w:gridCol w:w="2317"/>
              <w:gridCol w:w="2317"/>
              <w:gridCol w:w="2317"/>
            </w:tblGrid>
            <w:tr w:rsidR="59801B34" w14:paraId="58CEBAD1" w14:textId="77777777" w:rsidTr="59801B34">
              <w:trPr>
                <w:trHeight w:val="300"/>
              </w:trPr>
              <w:tc>
                <w:tcPr>
                  <w:tcW w:w="2318" w:type="dxa"/>
                </w:tcPr>
                <w:p w14:paraId="5D26A41F" w14:textId="298CD7FD" w:rsidR="59801B34" w:rsidRDefault="59801B34" w:rsidP="59801B34">
                  <w:pPr>
                    <w:rPr>
                      <w:i/>
                      <w:iCs/>
                      <w:color w:val="000000" w:themeColor="text1"/>
                    </w:rPr>
                  </w:pPr>
                </w:p>
              </w:tc>
              <w:tc>
                <w:tcPr>
                  <w:tcW w:w="2318" w:type="dxa"/>
                </w:tcPr>
                <w:p w14:paraId="32D07420" w14:textId="75509B7B" w:rsidR="00C1CFE9" w:rsidRDefault="00C1CFE9" w:rsidP="59801B34">
                  <w:pPr>
                    <w:rPr>
                      <w:i/>
                      <w:iCs/>
                      <w:color w:val="000000" w:themeColor="text1"/>
                    </w:rPr>
                  </w:pPr>
                  <w:r w:rsidRPr="59801B34">
                    <w:rPr>
                      <w:i/>
                      <w:iCs/>
                      <w:color w:val="000000" w:themeColor="text1"/>
                    </w:rPr>
                    <w:t>2024</w:t>
                  </w:r>
                </w:p>
              </w:tc>
              <w:tc>
                <w:tcPr>
                  <w:tcW w:w="2318" w:type="dxa"/>
                </w:tcPr>
                <w:p w14:paraId="6E433138" w14:textId="4888C979" w:rsidR="00C1CFE9" w:rsidRDefault="00C1CFE9" w:rsidP="59801B34">
                  <w:pPr>
                    <w:rPr>
                      <w:i/>
                      <w:iCs/>
                      <w:color w:val="000000" w:themeColor="text1"/>
                    </w:rPr>
                  </w:pPr>
                  <w:r w:rsidRPr="59801B34">
                    <w:rPr>
                      <w:i/>
                      <w:iCs/>
                      <w:color w:val="000000" w:themeColor="text1"/>
                    </w:rPr>
                    <w:t>2023</w:t>
                  </w:r>
                </w:p>
              </w:tc>
              <w:tc>
                <w:tcPr>
                  <w:tcW w:w="2318" w:type="dxa"/>
                </w:tcPr>
                <w:p w14:paraId="1E945FC6" w14:textId="3EEB8D91" w:rsidR="00C1CFE9" w:rsidRDefault="00C1CFE9" w:rsidP="59801B34">
                  <w:pPr>
                    <w:rPr>
                      <w:i/>
                      <w:iCs/>
                      <w:color w:val="000000" w:themeColor="text1"/>
                    </w:rPr>
                  </w:pPr>
                  <w:r w:rsidRPr="59801B34">
                    <w:rPr>
                      <w:i/>
                      <w:iCs/>
                      <w:color w:val="000000" w:themeColor="text1"/>
                    </w:rPr>
                    <w:t>2022</w:t>
                  </w:r>
                </w:p>
              </w:tc>
            </w:tr>
            <w:tr w:rsidR="59801B34" w14:paraId="0A9E6B64" w14:textId="77777777" w:rsidTr="59801B34">
              <w:trPr>
                <w:trHeight w:val="300"/>
              </w:trPr>
              <w:tc>
                <w:tcPr>
                  <w:tcW w:w="2318" w:type="dxa"/>
                </w:tcPr>
                <w:p w14:paraId="44A84A69" w14:textId="0F416AE0" w:rsidR="00C1CFE9" w:rsidRDefault="00C1CFE9" w:rsidP="59801B34">
                  <w:pPr>
                    <w:rPr>
                      <w:i/>
                      <w:iCs/>
                      <w:color w:val="000000" w:themeColor="text1"/>
                    </w:rPr>
                  </w:pPr>
                  <w:r w:rsidRPr="59801B34">
                    <w:rPr>
                      <w:i/>
                      <w:iCs/>
                      <w:color w:val="000000" w:themeColor="text1"/>
                    </w:rPr>
                    <w:t>PP</w:t>
                  </w:r>
                </w:p>
              </w:tc>
              <w:tc>
                <w:tcPr>
                  <w:tcW w:w="2318" w:type="dxa"/>
                </w:tcPr>
                <w:p w14:paraId="3EC1B8CA" w14:textId="7133000A" w:rsidR="00C1CFE9" w:rsidRDefault="00C1CFE9" w:rsidP="59801B34">
                  <w:pPr>
                    <w:rPr>
                      <w:i/>
                      <w:iCs/>
                      <w:color w:val="000000" w:themeColor="text1"/>
                    </w:rPr>
                  </w:pPr>
                  <w:r w:rsidRPr="59801B34">
                    <w:rPr>
                      <w:i/>
                      <w:iCs/>
                      <w:color w:val="000000" w:themeColor="text1"/>
                    </w:rPr>
                    <w:t>6</w:t>
                  </w:r>
                  <w:r w:rsidR="57C219BB" w:rsidRPr="59801B34">
                    <w:rPr>
                      <w:i/>
                      <w:iCs/>
                      <w:color w:val="000000" w:themeColor="text1"/>
                    </w:rPr>
                    <w:t>3</w:t>
                  </w:r>
                  <w:r w:rsidRPr="59801B34">
                    <w:rPr>
                      <w:i/>
                      <w:iCs/>
                      <w:color w:val="000000" w:themeColor="text1"/>
                    </w:rPr>
                    <w:t>%</w:t>
                  </w:r>
                </w:p>
              </w:tc>
              <w:tc>
                <w:tcPr>
                  <w:tcW w:w="2318" w:type="dxa"/>
                </w:tcPr>
                <w:p w14:paraId="38E14285" w14:textId="2E90D725" w:rsidR="00C1CFE9" w:rsidRDefault="00C1CFE9" w:rsidP="59801B34">
                  <w:pPr>
                    <w:rPr>
                      <w:i/>
                      <w:iCs/>
                      <w:color w:val="000000" w:themeColor="text1"/>
                    </w:rPr>
                  </w:pPr>
                  <w:r w:rsidRPr="59801B34">
                    <w:rPr>
                      <w:i/>
                      <w:iCs/>
                      <w:color w:val="000000" w:themeColor="text1"/>
                    </w:rPr>
                    <w:t>46%</w:t>
                  </w:r>
                </w:p>
              </w:tc>
              <w:tc>
                <w:tcPr>
                  <w:tcW w:w="2318" w:type="dxa"/>
                </w:tcPr>
                <w:p w14:paraId="68E3C8DD" w14:textId="29008704" w:rsidR="00C1CFE9" w:rsidRDefault="00C1CFE9" w:rsidP="59801B34">
                  <w:pPr>
                    <w:rPr>
                      <w:i/>
                      <w:iCs/>
                      <w:color w:val="000000" w:themeColor="text1"/>
                    </w:rPr>
                  </w:pPr>
                  <w:r w:rsidRPr="59801B34">
                    <w:rPr>
                      <w:i/>
                      <w:iCs/>
                      <w:color w:val="000000" w:themeColor="text1"/>
                    </w:rPr>
                    <w:t>68%</w:t>
                  </w:r>
                </w:p>
              </w:tc>
            </w:tr>
            <w:tr w:rsidR="59801B34" w14:paraId="12E062F4" w14:textId="77777777" w:rsidTr="59801B34">
              <w:trPr>
                <w:trHeight w:val="300"/>
              </w:trPr>
              <w:tc>
                <w:tcPr>
                  <w:tcW w:w="2318" w:type="dxa"/>
                </w:tcPr>
                <w:p w14:paraId="5835CAFB" w14:textId="7653735C" w:rsidR="00C1CFE9" w:rsidRDefault="00C1CFE9" w:rsidP="59801B34">
                  <w:pPr>
                    <w:rPr>
                      <w:i/>
                      <w:iCs/>
                      <w:color w:val="000000" w:themeColor="text1"/>
                    </w:rPr>
                  </w:pPr>
                  <w:r w:rsidRPr="59801B34">
                    <w:rPr>
                      <w:i/>
                      <w:iCs/>
                      <w:color w:val="000000" w:themeColor="text1"/>
                    </w:rPr>
                    <w:t>Non-PP</w:t>
                  </w:r>
                </w:p>
              </w:tc>
              <w:tc>
                <w:tcPr>
                  <w:tcW w:w="2318" w:type="dxa"/>
                </w:tcPr>
                <w:p w14:paraId="2E14BF84" w14:textId="2A735DBB" w:rsidR="00C1CFE9" w:rsidRDefault="00C1CFE9" w:rsidP="59801B34">
                  <w:pPr>
                    <w:rPr>
                      <w:i/>
                      <w:iCs/>
                      <w:color w:val="000000" w:themeColor="text1"/>
                    </w:rPr>
                  </w:pPr>
                  <w:r w:rsidRPr="59801B34">
                    <w:rPr>
                      <w:i/>
                      <w:iCs/>
                      <w:color w:val="000000" w:themeColor="text1"/>
                    </w:rPr>
                    <w:t>8</w:t>
                  </w:r>
                  <w:r w:rsidR="371C921A" w:rsidRPr="59801B34">
                    <w:rPr>
                      <w:i/>
                      <w:iCs/>
                      <w:color w:val="000000" w:themeColor="text1"/>
                    </w:rPr>
                    <w:t>1</w:t>
                  </w:r>
                  <w:r w:rsidRPr="59801B34">
                    <w:rPr>
                      <w:i/>
                      <w:iCs/>
                      <w:color w:val="000000" w:themeColor="text1"/>
                    </w:rPr>
                    <w:t>%</w:t>
                  </w:r>
                </w:p>
              </w:tc>
              <w:tc>
                <w:tcPr>
                  <w:tcW w:w="2318" w:type="dxa"/>
                </w:tcPr>
                <w:p w14:paraId="33BBBE92" w14:textId="5CDB8D7B" w:rsidR="00C1CFE9" w:rsidRDefault="00C1CFE9" w:rsidP="59801B34">
                  <w:pPr>
                    <w:rPr>
                      <w:i/>
                      <w:iCs/>
                      <w:color w:val="000000" w:themeColor="text1"/>
                    </w:rPr>
                  </w:pPr>
                  <w:r w:rsidRPr="59801B34">
                    <w:rPr>
                      <w:i/>
                      <w:iCs/>
                      <w:color w:val="000000" w:themeColor="text1"/>
                    </w:rPr>
                    <w:t>79%</w:t>
                  </w:r>
                </w:p>
              </w:tc>
              <w:tc>
                <w:tcPr>
                  <w:tcW w:w="2318" w:type="dxa"/>
                </w:tcPr>
                <w:p w14:paraId="2EB3C7AD" w14:textId="4E299BB6" w:rsidR="00C1CFE9" w:rsidRDefault="00C1CFE9" w:rsidP="59801B34">
                  <w:pPr>
                    <w:rPr>
                      <w:i/>
                      <w:iCs/>
                      <w:color w:val="000000" w:themeColor="text1"/>
                    </w:rPr>
                  </w:pPr>
                  <w:r w:rsidRPr="59801B34">
                    <w:rPr>
                      <w:i/>
                      <w:iCs/>
                      <w:color w:val="000000" w:themeColor="text1"/>
                    </w:rPr>
                    <w:t>80%</w:t>
                  </w:r>
                </w:p>
              </w:tc>
            </w:tr>
          </w:tbl>
          <w:p w14:paraId="4ABED822" w14:textId="72D2E946" w:rsidR="0064167B" w:rsidRPr="002F4C6F" w:rsidRDefault="0064167B" w:rsidP="59801B34">
            <w:pPr>
              <w:spacing w:before="60"/>
              <w:rPr>
                <w:i/>
                <w:iCs/>
                <w:color w:val="000000" w:themeColor="text1"/>
              </w:rPr>
            </w:pPr>
          </w:p>
          <w:p w14:paraId="4B44C7F5" w14:textId="6D820F1C" w:rsidR="0064167B" w:rsidRPr="002F4C6F" w:rsidRDefault="00C1CFE9" w:rsidP="59801B34">
            <w:pPr>
              <w:spacing w:before="60"/>
              <w:rPr>
                <w:i/>
                <w:iCs/>
                <w:color w:val="000000" w:themeColor="text1"/>
              </w:rPr>
            </w:pPr>
            <w:r w:rsidRPr="59801B34">
              <w:rPr>
                <w:i/>
                <w:iCs/>
                <w:color w:val="000000" w:themeColor="text1"/>
              </w:rPr>
              <w:t>4+in Maths</w:t>
            </w:r>
          </w:p>
          <w:tbl>
            <w:tblPr>
              <w:tblStyle w:val="TableGrid"/>
              <w:tblW w:w="0" w:type="auto"/>
              <w:tblLook w:val="06A0" w:firstRow="1" w:lastRow="0" w:firstColumn="1" w:lastColumn="0" w:noHBand="1" w:noVBand="1"/>
            </w:tblPr>
            <w:tblGrid>
              <w:gridCol w:w="2316"/>
              <w:gridCol w:w="2317"/>
              <w:gridCol w:w="2317"/>
              <w:gridCol w:w="2317"/>
            </w:tblGrid>
            <w:tr w:rsidR="59801B34" w14:paraId="7ED34247" w14:textId="77777777" w:rsidTr="59801B34">
              <w:trPr>
                <w:trHeight w:val="300"/>
              </w:trPr>
              <w:tc>
                <w:tcPr>
                  <w:tcW w:w="2318" w:type="dxa"/>
                </w:tcPr>
                <w:p w14:paraId="6BB62A31" w14:textId="48CB786F" w:rsidR="59801B34" w:rsidRDefault="59801B34" w:rsidP="59801B34">
                  <w:pPr>
                    <w:rPr>
                      <w:i/>
                      <w:iCs/>
                      <w:color w:val="000000" w:themeColor="text1"/>
                    </w:rPr>
                  </w:pPr>
                </w:p>
              </w:tc>
              <w:tc>
                <w:tcPr>
                  <w:tcW w:w="2318" w:type="dxa"/>
                </w:tcPr>
                <w:p w14:paraId="38DB8CD2" w14:textId="779227B0" w:rsidR="00C1CFE9" w:rsidRDefault="00C1CFE9" w:rsidP="59801B34">
                  <w:pPr>
                    <w:rPr>
                      <w:i/>
                      <w:iCs/>
                      <w:color w:val="000000" w:themeColor="text1"/>
                    </w:rPr>
                  </w:pPr>
                  <w:r w:rsidRPr="59801B34">
                    <w:rPr>
                      <w:i/>
                      <w:iCs/>
                      <w:color w:val="000000" w:themeColor="text1"/>
                    </w:rPr>
                    <w:t>2024</w:t>
                  </w:r>
                </w:p>
              </w:tc>
              <w:tc>
                <w:tcPr>
                  <w:tcW w:w="2318" w:type="dxa"/>
                </w:tcPr>
                <w:p w14:paraId="5B3A9715" w14:textId="656A1C01" w:rsidR="00C1CFE9" w:rsidRDefault="00C1CFE9" w:rsidP="59801B34">
                  <w:pPr>
                    <w:rPr>
                      <w:i/>
                      <w:iCs/>
                      <w:color w:val="000000" w:themeColor="text1"/>
                    </w:rPr>
                  </w:pPr>
                  <w:r w:rsidRPr="59801B34">
                    <w:rPr>
                      <w:i/>
                      <w:iCs/>
                      <w:color w:val="000000" w:themeColor="text1"/>
                    </w:rPr>
                    <w:t>2023</w:t>
                  </w:r>
                </w:p>
              </w:tc>
              <w:tc>
                <w:tcPr>
                  <w:tcW w:w="2318" w:type="dxa"/>
                </w:tcPr>
                <w:p w14:paraId="5BEF85BA" w14:textId="1C106329" w:rsidR="00C1CFE9" w:rsidRDefault="00C1CFE9" w:rsidP="59801B34">
                  <w:pPr>
                    <w:rPr>
                      <w:i/>
                      <w:iCs/>
                      <w:color w:val="000000" w:themeColor="text1"/>
                    </w:rPr>
                  </w:pPr>
                  <w:r w:rsidRPr="59801B34">
                    <w:rPr>
                      <w:i/>
                      <w:iCs/>
                      <w:color w:val="000000" w:themeColor="text1"/>
                    </w:rPr>
                    <w:t>2022</w:t>
                  </w:r>
                </w:p>
              </w:tc>
            </w:tr>
            <w:tr w:rsidR="59801B34" w14:paraId="67FE9762" w14:textId="77777777" w:rsidTr="59801B34">
              <w:trPr>
                <w:trHeight w:val="300"/>
              </w:trPr>
              <w:tc>
                <w:tcPr>
                  <w:tcW w:w="2318" w:type="dxa"/>
                </w:tcPr>
                <w:p w14:paraId="799BDAF2" w14:textId="19A0BD66" w:rsidR="00C1CFE9" w:rsidRDefault="00C1CFE9" w:rsidP="59801B34">
                  <w:pPr>
                    <w:rPr>
                      <w:i/>
                      <w:iCs/>
                      <w:color w:val="000000" w:themeColor="text1"/>
                    </w:rPr>
                  </w:pPr>
                  <w:r w:rsidRPr="59801B34">
                    <w:rPr>
                      <w:i/>
                      <w:iCs/>
                      <w:color w:val="000000" w:themeColor="text1"/>
                    </w:rPr>
                    <w:t>PP</w:t>
                  </w:r>
                </w:p>
              </w:tc>
              <w:tc>
                <w:tcPr>
                  <w:tcW w:w="2318" w:type="dxa"/>
                </w:tcPr>
                <w:p w14:paraId="3FEA893B" w14:textId="39E5144C" w:rsidR="00C1CFE9" w:rsidRDefault="00C1CFE9" w:rsidP="59801B34">
                  <w:pPr>
                    <w:rPr>
                      <w:i/>
                      <w:iCs/>
                      <w:color w:val="000000" w:themeColor="text1"/>
                    </w:rPr>
                  </w:pPr>
                  <w:r w:rsidRPr="59801B34">
                    <w:rPr>
                      <w:i/>
                      <w:iCs/>
                      <w:color w:val="000000" w:themeColor="text1"/>
                    </w:rPr>
                    <w:t>55%</w:t>
                  </w:r>
                </w:p>
              </w:tc>
              <w:tc>
                <w:tcPr>
                  <w:tcW w:w="2318" w:type="dxa"/>
                </w:tcPr>
                <w:p w14:paraId="463EFBE6" w14:textId="1AC249B5" w:rsidR="00C1CFE9" w:rsidRDefault="00C1CFE9" w:rsidP="59801B34">
                  <w:pPr>
                    <w:rPr>
                      <w:i/>
                      <w:iCs/>
                      <w:color w:val="000000" w:themeColor="text1"/>
                    </w:rPr>
                  </w:pPr>
                  <w:r w:rsidRPr="59801B34">
                    <w:rPr>
                      <w:i/>
                      <w:iCs/>
                      <w:color w:val="000000" w:themeColor="text1"/>
                    </w:rPr>
                    <w:t>36%</w:t>
                  </w:r>
                </w:p>
              </w:tc>
              <w:tc>
                <w:tcPr>
                  <w:tcW w:w="2318" w:type="dxa"/>
                </w:tcPr>
                <w:p w14:paraId="48CAF20B" w14:textId="4B72FB00" w:rsidR="00C1CFE9" w:rsidRDefault="00C1CFE9" w:rsidP="59801B34">
                  <w:pPr>
                    <w:rPr>
                      <w:i/>
                      <w:iCs/>
                      <w:color w:val="000000" w:themeColor="text1"/>
                    </w:rPr>
                  </w:pPr>
                  <w:r w:rsidRPr="59801B34">
                    <w:rPr>
                      <w:i/>
                      <w:iCs/>
                      <w:color w:val="000000" w:themeColor="text1"/>
                    </w:rPr>
                    <w:t>59%</w:t>
                  </w:r>
                </w:p>
              </w:tc>
            </w:tr>
            <w:tr w:rsidR="59801B34" w14:paraId="14C0571C" w14:textId="77777777" w:rsidTr="59801B34">
              <w:trPr>
                <w:trHeight w:val="300"/>
              </w:trPr>
              <w:tc>
                <w:tcPr>
                  <w:tcW w:w="2318" w:type="dxa"/>
                </w:tcPr>
                <w:p w14:paraId="2CBDF145" w14:textId="58D451E1" w:rsidR="00C1CFE9" w:rsidRDefault="00C1CFE9" w:rsidP="59801B34">
                  <w:pPr>
                    <w:rPr>
                      <w:i/>
                      <w:iCs/>
                      <w:color w:val="000000" w:themeColor="text1"/>
                    </w:rPr>
                  </w:pPr>
                  <w:r w:rsidRPr="59801B34">
                    <w:rPr>
                      <w:i/>
                      <w:iCs/>
                      <w:color w:val="000000" w:themeColor="text1"/>
                    </w:rPr>
                    <w:t>Non-PP</w:t>
                  </w:r>
                </w:p>
              </w:tc>
              <w:tc>
                <w:tcPr>
                  <w:tcW w:w="2318" w:type="dxa"/>
                </w:tcPr>
                <w:p w14:paraId="1D9EEDF4" w14:textId="76DC58B9" w:rsidR="00C1CFE9" w:rsidRDefault="00C1CFE9" w:rsidP="59801B34">
                  <w:pPr>
                    <w:rPr>
                      <w:i/>
                      <w:iCs/>
                      <w:color w:val="000000" w:themeColor="text1"/>
                    </w:rPr>
                  </w:pPr>
                  <w:r w:rsidRPr="59801B34">
                    <w:rPr>
                      <w:i/>
                      <w:iCs/>
                      <w:color w:val="000000" w:themeColor="text1"/>
                    </w:rPr>
                    <w:t>68%</w:t>
                  </w:r>
                </w:p>
              </w:tc>
              <w:tc>
                <w:tcPr>
                  <w:tcW w:w="2318" w:type="dxa"/>
                </w:tcPr>
                <w:p w14:paraId="6CEBF2BB" w14:textId="0874CE37" w:rsidR="00C1CFE9" w:rsidRDefault="00C1CFE9" w:rsidP="59801B34">
                  <w:pPr>
                    <w:rPr>
                      <w:i/>
                      <w:iCs/>
                      <w:color w:val="000000" w:themeColor="text1"/>
                    </w:rPr>
                  </w:pPr>
                  <w:r w:rsidRPr="59801B34">
                    <w:rPr>
                      <w:i/>
                      <w:iCs/>
                      <w:color w:val="000000" w:themeColor="text1"/>
                    </w:rPr>
                    <w:t>70%</w:t>
                  </w:r>
                </w:p>
              </w:tc>
              <w:tc>
                <w:tcPr>
                  <w:tcW w:w="2318" w:type="dxa"/>
                </w:tcPr>
                <w:p w14:paraId="187089D2" w14:textId="52A20CD9" w:rsidR="00C1CFE9" w:rsidRDefault="00C1CFE9" w:rsidP="59801B34">
                  <w:pPr>
                    <w:rPr>
                      <w:i/>
                      <w:iCs/>
                      <w:color w:val="000000" w:themeColor="text1"/>
                    </w:rPr>
                  </w:pPr>
                  <w:r w:rsidRPr="59801B34">
                    <w:rPr>
                      <w:i/>
                      <w:iCs/>
                      <w:color w:val="000000" w:themeColor="text1"/>
                    </w:rPr>
                    <w:t>72%</w:t>
                  </w:r>
                </w:p>
              </w:tc>
            </w:tr>
          </w:tbl>
          <w:p w14:paraId="72471D8A" w14:textId="2A5A8D6F" w:rsidR="0064167B" w:rsidRPr="002F4C6F" w:rsidRDefault="0064167B" w:rsidP="59801B34">
            <w:pPr>
              <w:spacing w:before="60"/>
              <w:rPr>
                <w:i/>
                <w:iCs/>
                <w:color w:val="000000" w:themeColor="text1"/>
              </w:rPr>
            </w:pPr>
          </w:p>
          <w:p w14:paraId="161EF4A9" w14:textId="2DCBE642" w:rsidR="0064167B" w:rsidRPr="002F4C6F" w:rsidRDefault="41D77804" w:rsidP="59801B34">
            <w:pPr>
              <w:spacing w:before="60"/>
            </w:pPr>
            <w:r>
              <w:t>Bedford High school has the best results for % students ac</w:t>
            </w:r>
            <w:r w:rsidR="78214D47">
              <w:t>h</w:t>
            </w:r>
            <w:r>
              <w:t xml:space="preserve">ieving Grades </w:t>
            </w:r>
            <w:r w:rsidR="5922D2BB">
              <w:t>4-9, 5-9</w:t>
            </w:r>
            <w:r>
              <w:t xml:space="preserve"> and 7-9 in the Wi</w:t>
            </w:r>
            <w:r w:rsidR="0C0EB1AF">
              <w:t>gan LA in Chemistry, Physics and Biology. It is 2</w:t>
            </w:r>
            <w:r w:rsidR="0C0EB1AF" w:rsidRPr="59801B34">
              <w:rPr>
                <w:vertAlign w:val="superscript"/>
              </w:rPr>
              <w:t>nd</w:t>
            </w:r>
            <w:r w:rsidR="0C0EB1AF">
              <w:t xml:space="preserve"> highest for English Literature for Grades 7-9</w:t>
            </w:r>
            <w:r w:rsidR="027B065E">
              <w:t xml:space="preserve"> and 4</w:t>
            </w:r>
            <w:r w:rsidR="027B065E" w:rsidRPr="59801B34">
              <w:rPr>
                <w:vertAlign w:val="superscript"/>
              </w:rPr>
              <w:t>th</w:t>
            </w:r>
            <w:r w:rsidR="027B065E">
              <w:t xml:space="preserve"> place overall for attainment in History.</w:t>
            </w:r>
          </w:p>
          <w:p w14:paraId="20F104EC" w14:textId="456E9E95" w:rsidR="0064167B" w:rsidRPr="002F4C6F" w:rsidRDefault="0064167B" w:rsidP="59801B34">
            <w:pPr>
              <w:spacing w:before="60"/>
            </w:pPr>
          </w:p>
          <w:p w14:paraId="02CE1F05" w14:textId="2DD8C939" w:rsidR="0064167B" w:rsidRPr="002F4C6F" w:rsidRDefault="0064167B" w:rsidP="59801B34">
            <w:pPr>
              <w:spacing w:before="60"/>
              <w:rPr>
                <w:i/>
                <w:iCs/>
                <w:color w:val="000000" w:themeColor="text1"/>
              </w:rPr>
            </w:pPr>
          </w:p>
          <w:p w14:paraId="504DBB44" w14:textId="3EFB3D16" w:rsidR="0064167B" w:rsidRPr="002F4C6F" w:rsidRDefault="4BC50BB2" w:rsidP="59801B34">
            <w:pPr>
              <w:spacing w:before="60"/>
              <w:rPr>
                <w:b/>
                <w:bCs/>
                <w:i/>
                <w:iCs/>
                <w:color w:val="000000" w:themeColor="text1"/>
              </w:rPr>
            </w:pPr>
            <w:r w:rsidRPr="59801B34">
              <w:rPr>
                <w:b/>
                <w:bCs/>
                <w:i/>
                <w:iCs/>
                <w:color w:val="000000" w:themeColor="text1"/>
              </w:rPr>
              <w:t>Reading review:</w:t>
            </w:r>
          </w:p>
          <w:p w14:paraId="1A472550" w14:textId="43012BF4" w:rsidR="0064167B" w:rsidRPr="002F4C6F" w:rsidRDefault="469C73BC" w:rsidP="59801B34">
            <w:pPr>
              <w:spacing w:before="60"/>
            </w:pPr>
            <w:r>
              <w:rPr>
                <w:noProof/>
              </w:rPr>
              <w:drawing>
                <wp:inline distT="0" distB="0" distL="0" distR="0" wp14:anchorId="0717933F" wp14:editId="7F939E3C">
                  <wp:extent cx="5876926" cy="3305175"/>
                  <wp:effectExtent l="0" t="0" r="0" b="0"/>
                  <wp:docPr id="1678674544" name="Picture 167867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76926" cy="3305175"/>
                          </a:xfrm>
                          <a:prstGeom prst="rect">
                            <a:avLst/>
                          </a:prstGeom>
                        </pic:spPr>
                      </pic:pic>
                    </a:graphicData>
                  </a:graphic>
                </wp:inline>
              </w:drawing>
            </w:r>
          </w:p>
          <w:p w14:paraId="00B8AA97" w14:textId="63EE621E" w:rsidR="0064167B" w:rsidRPr="002F4C6F" w:rsidRDefault="2DFAE048" w:rsidP="59801B34">
            <w:pPr>
              <w:spacing w:before="60"/>
            </w:pPr>
            <w:r>
              <w:rPr>
                <w:noProof/>
              </w:rPr>
              <w:lastRenderedPageBreak/>
              <w:drawing>
                <wp:inline distT="0" distB="0" distL="0" distR="0" wp14:anchorId="02CFFCC4" wp14:editId="3372EEC4">
                  <wp:extent cx="5876926" cy="3305175"/>
                  <wp:effectExtent l="0" t="0" r="0" b="0"/>
                  <wp:docPr id="314435661" name="Picture 31443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76926" cy="3305175"/>
                          </a:xfrm>
                          <a:prstGeom prst="rect">
                            <a:avLst/>
                          </a:prstGeom>
                        </pic:spPr>
                      </pic:pic>
                    </a:graphicData>
                  </a:graphic>
                </wp:inline>
              </w:drawing>
            </w:r>
          </w:p>
          <w:p w14:paraId="1E84C078" w14:textId="1741FF3B" w:rsidR="0064167B" w:rsidRPr="002F4C6F" w:rsidRDefault="2DFAE048" w:rsidP="59801B34">
            <w:pPr>
              <w:spacing w:before="60"/>
            </w:pPr>
            <w:r>
              <w:rPr>
                <w:noProof/>
              </w:rPr>
              <w:drawing>
                <wp:inline distT="0" distB="0" distL="0" distR="0" wp14:anchorId="1036E7D5" wp14:editId="7C5D87B1">
                  <wp:extent cx="5876926" cy="3305175"/>
                  <wp:effectExtent l="0" t="0" r="0" b="0"/>
                  <wp:docPr id="206035370" name="Picture 20603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76926" cy="3305175"/>
                          </a:xfrm>
                          <a:prstGeom prst="rect">
                            <a:avLst/>
                          </a:prstGeom>
                        </pic:spPr>
                      </pic:pic>
                    </a:graphicData>
                  </a:graphic>
                </wp:inline>
              </w:drawing>
            </w:r>
            <w:r w:rsidR="6D38E9BF">
              <w:t xml:space="preserve">Number of </w:t>
            </w:r>
            <w:r w:rsidR="0F13ED27">
              <w:t xml:space="preserve">PP </w:t>
            </w:r>
            <w:r w:rsidR="6D38E9BF">
              <w:t xml:space="preserve">students requiring intervention in Year 8 and Year 9 has increased, but this is due to referrals from staff. </w:t>
            </w:r>
            <w:r w:rsidR="0B39F4EE">
              <w:t xml:space="preserve">There is now an awareness across the school of reading needs and how to identify struggling readers. </w:t>
            </w:r>
            <w:r w:rsidR="263C2897">
              <w:t xml:space="preserve">The 5-Tier Reading Intervention Programme has only been running since Easter 2023. Early diagnostic testing would not have </w:t>
            </w:r>
            <w:r w:rsidR="41AD13D4">
              <w:t>happened for these Year groups, hence a spike in those identified for intervention</w:t>
            </w:r>
            <w:r w:rsidR="0615673E">
              <w:t xml:space="preserve"> later in KS3. </w:t>
            </w:r>
          </w:p>
          <w:p w14:paraId="7DE1C281" w14:textId="784BBEFD" w:rsidR="0064167B" w:rsidRPr="002F4C6F" w:rsidRDefault="0615673E" w:rsidP="59801B34">
            <w:pPr>
              <w:spacing w:before="60"/>
            </w:pPr>
            <w:r>
              <w:t xml:space="preserve">PP students working at or above national benchmark has increased in each testing period. </w:t>
            </w:r>
          </w:p>
          <w:p w14:paraId="734C66A8" w14:textId="768E723E" w:rsidR="0064167B" w:rsidRPr="002F4C6F" w:rsidRDefault="0615673E" w:rsidP="59801B34">
            <w:pPr>
              <w:spacing w:before="60"/>
            </w:pPr>
            <w:r>
              <w:t>Year 7 – 47% - 55%</w:t>
            </w:r>
          </w:p>
          <w:p w14:paraId="3D55A06F" w14:textId="693B9813" w:rsidR="0064167B" w:rsidRPr="002F4C6F" w:rsidRDefault="0615673E" w:rsidP="59801B34">
            <w:pPr>
              <w:spacing w:before="60"/>
            </w:pPr>
            <w:r>
              <w:lastRenderedPageBreak/>
              <w:t>Year 8 – 35% - 49%</w:t>
            </w:r>
          </w:p>
          <w:p w14:paraId="3DAA8F34" w14:textId="2E2F762A" w:rsidR="0064167B" w:rsidRPr="002F4C6F" w:rsidRDefault="0615673E" w:rsidP="59801B34">
            <w:pPr>
              <w:spacing w:before="60"/>
            </w:pPr>
            <w:r>
              <w:t>Year 9 – 46% - 63%</w:t>
            </w:r>
          </w:p>
          <w:p w14:paraId="15C72018" w14:textId="6098DF03" w:rsidR="0064167B" w:rsidRPr="002F4C6F" w:rsidRDefault="0064167B" w:rsidP="59801B34">
            <w:pPr>
              <w:spacing w:before="60"/>
              <w:rPr>
                <w:b/>
                <w:bCs/>
                <w:i/>
                <w:iCs/>
                <w:color w:val="000000" w:themeColor="text1"/>
              </w:rPr>
            </w:pPr>
          </w:p>
          <w:p w14:paraId="0C53AD45" w14:textId="0CCDFB56" w:rsidR="0064167B" w:rsidRPr="002F4C6F" w:rsidRDefault="3F7A4AAA" w:rsidP="59801B34">
            <w:pPr>
              <w:spacing w:before="60"/>
              <w:rPr>
                <w:b/>
                <w:bCs/>
                <w:i/>
                <w:iCs/>
                <w:color w:val="000000" w:themeColor="text1"/>
              </w:rPr>
            </w:pPr>
            <w:r w:rsidRPr="59801B34">
              <w:rPr>
                <w:b/>
                <w:bCs/>
                <w:i/>
                <w:iCs/>
                <w:color w:val="000000" w:themeColor="text1"/>
              </w:rPr>
              <w:t xml:space="preserve">Attendance review: </w:t>
            </w:r>
          </w:p>
          <w:p w14:paraId="75B12D8A" w14:textId="7A65F3A7" w:rsidR="0064167B" w:rsidRPr="002F4C6F" w:rsidRDefault="70DA6E62" w:rsidP="59801B34">
            <w:pPr>
              <w:spacing w:before="60" w:after="60"/>
              <w:ind w:left="57" w:right="57"/>
            </w:pPr>
            <w:r w:rsidRPr="59801B34">
              <w:rPr>
                <w:rFonts w:eastAsia="Arial" w:cs="Arial"/>
                <w:b/>
                <w:bCs/>
                <w:color w:val="0D0D0D" w:themeColor="text1" w:themeTint="F2"/>
              </w:rPr>
              <w:t>Attendance</w:t>
            </w:r>
            <w:r w:rsidRPr="59801B34">
              <w:rPr>
                <w:rFonts w:eastAsia="Arial" w:cs="Arial"/>
                <w:color w:val="0D0D0D" w:themeColor="text1" w:themeTint="F2"/>
              </w:rPr>
              <w:t xml:space="preserve"> </w:t>
            </w:r>
          </w:p>
          <w:p w14:paraId="411255D3" w14:textId="32083079" w:rsidR="0064167B" w:rsidRPr="002F4C6F" w:rsidRDefault="70DA6E62" w:rsidP="59801B34">
            <w:pPr>
              <w:spacing w:before="60"/>
              <w:rPr>
                <w:rFonts w:eastAsia="Arial" w:cs="Arial"/>
                <w:color w:val="0D0D0D" w:themeColor="text1" w:themeTint="F2"/>
                <w:highlight w:val="yellow"/>
              </w:rPr>
            </w:pPr>
            <w:r w:rsidRPr="59801B34">
              <w:rPr>
                <w:rFonts w:eastAsia="Arial" w:cs="Arial"/>
                <w:color w:val="0D0D0D" w:themeColor="text1" w:themeTint="F2"/>
              </w:rPr>
              <w:t xml:space="preserve">Daily and weekly data scrutiny, attendance action plans, </w:t>
            </w:r>
            <w:r w:rsidR="48F4DAC8" w:rsidRPr="59801B34">
              <w:rPr>
                <w:rFonts w:eastAsia="Arial" w:cs="Arial"/>
                <w:color w:val="0D0D0D" w:themeColor="text1" w:themeTint="F2"/>
              </w:rPr>
              <w:t>All</w:t>
            </w:r>
            <w:r w:rsidRPr="59801B34">
              <w:rPr>
                <w:rFonts w:eastAsia="Arial" w:cs="Arial"/>
                <w:color w:val="0D0D0D" w:themeColor="text1" w:themeTint="F2"/>
              </w:rPr>
              <w:t xml:space="preserve"> Level 2 Early Help</w:t>
            </w:r>
            <w:r w:rsidR="1890CB0D" w:rsidRPr="59801B34">
              <w:rPr>
                <w:rFonts w:eastAsia="Arial" w:cs="Arial"/>
                <w:color w:val="0D0D0D" w:themeColor="text1" w:themeTint="F2"/>
              </w:rPr>
              <w:t>s now have</w:t>
            </w:r>
            <w:r w:rsidRPr="59801B34">
              <w:rPr>
                <w:rFonts w:eastAsia="Arial" w:cs="Arial"/>
                <w:color w:val="0D0D0D" w:themeColor="text1" w:themeTint="F2"/>
              </w:rPr>
              <w:t xml:space="preserve"> an attendance focus. Many of the EH’s for PP students. </w:t>
            </w:r>
            <w:r w:rsidR="525886D8" w:rsidRPr="59801B34">
              <w:rPr>
                <w:rFonts w:eastAsia="Arial" w:cs="Arial"/>
                <w:color w:val="0D0D0D" w:themeColor="text1" w:themeTint="F2"/>
              </w:rPr>
              <w:t>The Early Help coordinator is now a permanent position, with this being expanded to the EBSA officer role in HT2.</w:t>
            </w:r>
          </w:p>
          <w:p w14:paraId="1D2AF306" w14:textId="53E0F6A5" w:rsidR="0064167B" w:rsidRPr="002F4C6F" w:rsidRDefault="5859E2DB" w:rsidP="59801B34">
            <w:pPr>
              <w:spacing w:before="60"/>
              <w:rPr>
                <w:rFonts w:eastAsia="Arial" w:cs="Arial"/>
                <w:color w:val="0D0D0D" w:themeColor="text1" w:themeTint="F2"/>
              </w:rPr>
            </w:pPr>
            <w:r w:rsidRPr="59801B34">
              <w:rPr>
                <w:rFonts w:eastAsia="Arial" w:cs="Arial"/>
                <w:color w:val="0D0D0D" w:themeColor="text1" w:themeTint="F2"/>
              </w:rPr>
              <w:t>HT1 Data</w:t>
            </w:r>
          </w:p>
          <w:p w14:paraId="2B6520E6" w14:textId="25EBD49D" w:rsidR="0064167B" w:rsidRPr="002F4C6F" w:rsidRDefault="5859E2DB" w:rsidP="59801B34">
            <w:pPr>
              <w:spacing w:after="0"/>
              <w:jc w:val="center"/>
            </w:pPr>
            <w:r w:rsidRPr="59801B34">
              <w:rPr>
                <w:rFonts w:eastAsia="Arial" w:cs="Arial"/>
                <w:b/>
                <w:bCs/>
                <w:color w:val="538135"/>
                <w:lang w:val="en-US"/>
              </w:rPr>
              <w:t>Whole School Attendance 2024-25 – HT2 (YTD)</w:t>
            </w:r>
          </w:p>
          <w:tbl>
            <w:tblPr>
              <w:tblStyle w:val="TableGrid"/>
              <w:tblW w:w="0" w:type="auto"/>
              <w:tblLook w:val="06A0" w:firstRow="1" w:lastRow="0" w:firstColumn="1" w:lastColumn="0" w:noHBand="1" w:noVBand="1"/>
            </w:tblPr>
            <w:tblGrid>
              <w:gridCol w:w="6417"/>
              <w:gridCol w:w="1485"/>
              <w:gridCol w:w="1365"/>
            </w:tblGrid>
            <w:tr w:rsidR="59801B34" w14:paraId="2459BC9D" w14:textId="77777777" w:rsidTr="59801B34">
              <w:trPr>
                <w:trHeight w:val="300"/>
              </w:trPr>
              <w:tc>
                <w:tcPr>
                  <w:tcW w:w="6420" w:type="dxa"/>
                </w:tcPr>
                <w:p w14:paraId="53DF6E1E" w14:textId="0F26A40B" w:rsidR="59801B34" w:rsidRDefault="59801B34" w:rsidP="59801B34">
                  <w:pPr>
                    <w:spacing w:after="0"/>
                  </w:pPr>
                  <w:r w:rsidRPr="59801B34">
                    <w:rPr>
                      <w:rFonts w:eastAsia="Arial" w:cs="Arial"/>
                      <w:sz w:val="22"/>
                      <w:szCs w:val="22"/>
                      <w:lang w:val="en-US"/>
                    </w:rPr>
                    <w:t>Current Whole School Attendance Percentage</w:t>
                  </w:r>
                </w:p>
              </w:tc>
              <w:tc>
                <w:tcPr>
                  <w:tcW w:w="2850" w:type="dxa"/>
                  <w:gridSpan w:val="2"/>
                </w:tcPr>
                <w:p w14:paraId="172E3994" w14:textId="7A904F1F" w:rsidR="59801B34" w:rsidRDefault="59801B34" w:rsidP="59801B34">
                  <w:pPr>
                    <w:spacing w:after="0"/>
                  </w:pPr>
                  <w:r w:rsidRPr="59801B34">
                    <w:rPr>
                      <w:rFonts w:eastAsia="Arial" w:cs="Arial"/>
                      <w:sz w:val="22"/>
                      <w:szCs w:val="22"/>
                      <w:lang w:val="en-US"/>
                    </w:rPr>
                    <w:t>93.19%</w:t>
                  </w:r>
                </w:p>
              </w:tc>
            </w:tr>
            <w:tr w:rsidR="59801B34" w14:paraId="2F565E7D" w14:textId="77777777" w:rsidTr="59801B34">
              <w:trPr>
                <w:trHeight w:val="300"/>
              </w:trPr>
              <w:tc>
                <w:tcPr>
                  <w:tcW w:w="6420" w:type="dxa"/>
                </w:tcPr>
                <w:p w14:paraId="1AB3B739" w14:textId="13AB76C9" w:rsidR="59801B34" w:rsidRDefault="59801B34" w:rsidP="59801B34">
                  <w:pPr>
                    <w:spacing w:after="0"/>
                  </w:pPr>
                  <w:proofErr w:type="spellStart"/>
                  <w:r w:rsidRPr="59801B34">
                    <w:rPr>
                      <w:rFonts w:eastAsia="Arial" w:cs="Arial"/>
                      <w:sz w:val="22"/>
                      <w:szCs w:val="22"/>
                      <w:lang w:val="en-US"/>
                    </w:rPr>
                    <w:t>Unauthorised</w:t>
                  </w:r>
                  <w:proofErr w:type="spellEnd"/>
                  <w:r w:rsidRPr="59801B34">
                    <w:rPr>
                      <w:rFonts w:eastAsia="Arial" w:cs="Arial"/>
                      <w:sz w:val="22"/>
                      <w:szCs w:val="22"/>
                      <w:lang w:val="en-US"/>
                    </w:rPr>
                    <w:t xml:space="preserve"> Absence as a percentage of total possible sessions</w:t>
                  </w:r>
                </w:p>
              </w:tc>
              <w:tc>
                <w:tcPr>
                  <w:tcW w:w="2850" w:type="dxa"/>
                  <w:gridSpan w:val="2"/>
                </w:tcPr>
                <w:p w14:paraId="1277B132" w14:textId="411DE463" w:rsidR="59801B34" w:rsidRDefault="59801B34" w:rsidP="59801B34">
                  <w:pPr>
                    <w:spacing w:after="0"/>
                  </w:pPr>
                  <w:r w:rsidRPr="59801B34">
                    <w:rPr>
                      <w:rFonts w:eastAsia="Arial" w:cs="Arial"/>
                      <w:sz w:val="22"/>
                      <w:szCs w:val="22"/>
                      <w:lang w:val="en-US"/>
                    </w:rPr>
                    <w:t>3%</w:t>
                  </w:r>
                </w:p>
              </w:tc>
            </w:tr>
            <w:tr w:rsidR="59801B34" w14:paraId="4B650381" w14:textId="77777777" w:rsidTr="59801B34">
              <w:trPr>
                <w:trHeight w:val="300"/>
              </w:trPr>
              <w:tc>
                <w:tcPr>
                  <w:tcW w:w="6420" w:type="dxa"/>
                </w:tcPr>
                <w:p w14:paraId="4703AEDE" w14:textId="771CC552" w:rsidR="59801B34" w:rsidRDefault="59801B34" w:rsidP="59801B34">
                  <w:pPr>
                    <w:spacing w:after="0"/>
                  </w:pPr>
                  <w:r w:rsidRPr="59801B34">
                    <w:rPr>
                      <w:rFonts w:eastAsia="Arial" w:cs="Arial"/>
                      <w:sz w:val="22"/>
                      <w:szCs w:val="22"/>
                      <w:lang w:val="en-US"/>
                    </w:rPr>
                    <w:t>Persistent Absence (10% of sessions)</w:t>
                  </w:r>
                </w:p>
              </w:tc>
              <w:tc>
                <w:tcPr>
                  <w:tcW w:w="1485" w:type="dxa"/>
                </w:tcPr>
                <w:p w14:paraId="287EDE99" w14:textId="36DE1F8B" w:rsidR="59801B34" w:rsidRDefault="59801B34" w:rsidP="59801B34">
                  <w:pPr>
                    <w:spacing w:after="0"/>
                  </w:pPr>
                  <w:r w:rsidRPr="59801B34">
                    <w:rPr>
                      <w:rFonts w:eastAsia="Arial" w:cs="Arial"/>
                      <w:sz w:val="22"/>
                      <w:szCs w:val="22"/>
                      <w:lang w:val="en-US"/>
                    </w:rPr>
                    <w:t>23.6%</w:t>
                  </w:r>
                </w:p>
              </w:tc>
              <w:tc>
                <w:tcPr>
                  <w:tcW w:w="1365" w:type="dxa"/>
                </w:tcPr>
                <w:p w14:paraId="4C1FAF00" w14:textId="0BD9B2F3" w:rsidR="59801B34" w:rsidRDefault="59801B34" w:rsidP="59801B34">
                  <w:pPr>
                    <w:spacing w:after="0"/>
                  </w:pPr>
                  <w:r w:rsidRPr="59801B34">
                    <w:rPr>
                      <w:rFonts w:eastAsia="Arial" w:cs="Arial"/>
                      <w:sz w:val="22"/>
                      <w:szCs w:val="22"/>
                      <w:lang w:val="en-US"/>
                    </w:rPr>
                    <w:t>267</w:t>
                  </w:r>
                </w:p>
              </w:tc>
            </w:tr>
            <w:tr w:rsidR="59801B34" w14:paraId="1BFC3200" w14:textId="77777777" w:rsidTr="59801B34">
              <w:trPr>
                <w:trHeight w:val="300"/>
              </w:trPr>
              <w:tc>
                <w:tcPr>
                  <w:tcW w:w="6420" w:type="dxa"/>
                </w:tcPr>
                <w:p w14:paraId="30DBE150" w14:textId="29576A50" w:rsidR="59801B34" w:rsidRDefault="59801B34" w:rsidP="59801B34">
                  <w:pPr>
                    <w:spacing w:after="0"/>
                  </w:pPr>
                  <w:r w:rsidRPr="59801B34">
                    <w:rPr>
                      <w:rFonts w:eastAsia="Arial" w:cs="Arial"/>
                      <w:sz w:val="22"/>
                      <w:szCs w:val="22"/>
                      <w:lang w:val="en-US"/>
                    </w:rPr>
                    <w:t>Severe Absence (50% of sessions)</w:t>
                  </w:r>
                </w:p>
              </w:tc>
              <w:tc>
                <w:tcPr>
                  <w:tcW w:w="1485" w:type="dxa"/>
                </w:tcPr>
                <w:p w14:paraId="2F6F59DC" w14:textId="23E01636" w:rsidR="59801B34" w:rsidRDefault="59801B34" w:rsidP="59801B34">
                  <w:pPr>
                    <w:spacing w:after="0"/>
                  </w:pPr>
                  <w:r w:rsidRPr="59801B34">
                    <w:rPr>
                      <w:rFonts w:eastAsia="Arial" w:cs="Arial"/>
                      <w:sz w:val="22"/>
                      <w:szCs w:val="22"/>
                      <w:lang w:val="en-US"/>
                    </w:rPr>
                    <w:t>2.1%</w:t>
                  </w:r>
                </w:p>
              </w:tc>
              <w:tc>
                <w:tcPr>
                  <w:tcW w:w="1365" w:type="dxa"/>
                </w:tcPr>
                <w:p w14:paraId="1EF9FD3D" w14:textId="334D4572" w:rsidR="59801B34" w:rsidRDefault="59801B34" w:rsidP="59801B34">
                  <w:pPr>
                    <w:spacing w:after="0"/>
                  </w:pPr>
                  <w:r w:rsidRPr="59801B34">
                    <w:rPr>
                      <w:rFonts w:eastAsia="Arial" w:cs="Arial"/>
                      <w:sz w:val="22"/>
                      <w:szCs w:val="22"/>
                      <w:lang w:val="en-US"/>
                    </w:rPr>
                    <w:t>24</w:t>
                  </w:r>
                </w:p>
              </w:tc>
            </w:tr>
          </w:tbl>
          <w:p w14:paraId="1C95F855" w14:textId="5A3FA741" w:rsidR="0064167B" w:rsidRPr="002F4C6F" w:rsidRDefault="0064167B" w:rsidP="59801B34">
            <w:pPr>
              <w:spacing w:before="60"/>
              <w:rPr>
                <w:b/>
                <w:bCs/>
                <w:i/>
                <w:iCs/>
                <w:color w:val="000000" w:themeColor="text1"/>
              </w:rPr>
            </w:pPr>
          </w:p>
          <w:tbl>
            <w:tblPr>
              <w:tblStyle w:val="TableGrid"/>
              <w:tblW w:w="0" w:type="auto"/>
              <w:tblLook w:val="06A0" w:firstRow="1" w:lastRow="0" w:firstColumn="1" w:lastColumn="0" w:noHBand="1" w:noVBand="1"/>
            </w:tblPr>
            <w:tblGrid>
              <w:gridCol w:w="6403"/>
              <w:gridCol w:w="2864"/>
            </w:tblGrid>
            <w:tr w:rsidR="59801B34" w14:paraId="502EF6BD" w14:textId="77777777" w:rsidTr="59801B34">
              <w:trPr>
                <w:trHeight w:val="300"/>
              </w:trPr>
              <w:tc>
                <w:tcPr>
                  <w:tcW w:w="6405" w:type="dxa"/>
                </w:tcPr>
                <w:p w14:paraId="768EE369" w14:textId="36C9E53B" w:rsidR="59801B34" w:rsidRDefault="59801B34" w:rsidP="59801B34">
                  <w:pPr>
                    <w:spacing w:after="0"/>
                  </w:pPr>
                  <w:r w:rsidRPr="59801B34">
                    <w:rPr>
                      <w:rFonts w:eastAsia="Arial" w:cs="Arial"/>
                      <w:color w:val="000000" w:themeColor="text1"/>
                      <w:sz w:val="22"/>
                      <w:szCs w:val="22"/>
                      <w:lang w:val="en-US"/>
                    </w:rPr>
                    <w:t>Half Term 1 attendance percentage 2023-24</w:t>
                  </w:r>
                </w:p>
              </w:tc>
              <w:tc>
                <w:tcPr>
                  <w:tcW w:w="2865" w:type="dxa"/>
                </w:tcPr>
                <w:p w14:paraId="5FFEF3A3" w14:textId="0276FD1F" w:rsidR="59801B34" w:rsidRDefault="59801B34" w:rsidP="59801B34">
                  <w:pPr>
                    <w:spacing w:after="0"/>
                  </w:pPr>
                  <w:r w:rsidRPr="59801B34">
                    <w:rPr>
                      <w:rFonts w:eastAsia="Arial" w:cs="Arial"/>
                      <w:color w:val="000000" w:themeColor="text1"/>
                      <w:sz w:val="22"/>
                      <w:szCs w:val="22"/>
                      <w:lang w:val="en-US"/>
                    </w:rPr>
                    <w:t>90.57</w:t>
                  </w:r>
                </w:p>
              </w:tc>
            </w:tr>
            <w:tr w:rsidR="59801B34" w14:paraId="1F78E071" w14:textId="77777777" w:rsidTr="59801B34">
              <w:trPr>
                <w:trHeight w:val="300"/>
              </w:trPr>
              <w:tc>
                <w:tcPr>
                  <w:tcW w:w="6405" w:type="dxa"/>
                </w:tcPr>
                <w:p w14:paraId="00DB568E" w14:textId="23B936B6" w:rsidR="59801B34" w:rsidRDefault="59801B34" w:rsidP="59801B34">
                  <w:pPr>
                    <w:spacing w:after="0"/>
                  </w:pPr>
                  <w:r w:rsidRPr="59801B34">
                    <w:rPr>
                      <w:rFonts w:eastAsia="Arial" w:cs="Arial"/>
                      <w:color w:val="000000" w:themeColor="text1"/>
                      <w:sz w:val="22"/>
                      <w:szCs w:val="22"/>
                      <w:lang w:val="en-US"/>
                    </w:rPr>
                    <w:t>Half Term 1 attendance percentage 2022-23</w:t>
                  </w:r>
                </w:p>
              </w:tc>
              <w:tc>
                <w:tcPr>
                  <w:tcW w:w="2865" w:type="dxa"/>
                </w:tcPr>
                <w:p w14:paraId="30C6CBF5" w14:textId="4BC1F212" w:rsidR="59801B34" w:rsidRDefault="59801B34" w:rsidP="59801B34">
                  <w:pPr>
                    <w:spacing w:after="0"/>
                  </w:pPr>
                  <w:r w:rsidRPr="59801B34">
                    <w:rPr>
                      <w:rFonts w:eastAsia="Arial" w:cs="Arial"/>
                      <w:color w:val="000000" w:themeColor="text1"/>
                      <w:sz w:val="22"/>
                      <w:szCs w:val="22"/>
                      <w:lang w:val="en-US"/>
                    </w:rPr>
                    <w:t>92.2</w:t>
                  </w:r>
                </w:p>
              </w:tc>
            </w:tr>
            <w:tr w:rsidR="59801B34" w14:paraId="3A7C297E" w14:textId="77777777" w:rsidTr="59801B34">
              <w:trPr>
                <w:trHeight w:val="300"/>
              </w:trPr>
              <w:tc>
                <w:tcPr>
                  <w:tcW w:w="6405" w:type="dxa"/>
                </w:tcPr>
                <w:p w14:paraId="36AE6358" w14:textId="1FDEF018" w:rsidR="59801B34" w:rsidRDefault="59801B34" w:rsidP="59801B34">
                  <w:pPr>
                    <w:spacing w:after="0"/>
                  </w:pPr>
                  <w:r w:rsidRPr="59801B34">
                    <w:rPr>
                      <w:rFonts w:eastAsia="Arial" w:cs="Arial"/>
                      <w:color w:val="000000" w:themeColor="text1"/>
                      <w:sz w:val="22"/>
                      <w:szCs w:val="22"/>
                      <w:lang w:val="en-US"/>
                    </w:rPr>
                    <w:t>Half Term 1 attendance percentage 2021-22</w:t>
                  </w:r>
                </w:p>
              </w:tc>
              <w:tc>
                <w:tcPr>
                  <w:tcW w:w="2865" w:type="dxa"/>
                </w:tcPr>
                <w:p w14:paraId="1E578333" w14:textId="5AE38EF4" w:rsidR="59801B34" w:rsidRDefault="59801B34" w:rsidP="59801B34">
                  <w:pPr>
                    <w:spacing w:after="0"/>
                  </w:pPr>
                  <w:r w:rsidRPr="59801B34">
                    <w:rPr>
                      <w:rFonts w:eastAsia="Arial" w:cs="Arial"/>
                      <w:color w:val="000000" w:themeColor="text1"/>
                      <w:sz w:val="22"/>
                      <w:szCs w:val="22"/>
                      <w:lang w:val="en-US"/>
                    </w:rPr>
                    <w:t>91.7</w:t>
                  </w:r>
                </w:p>
              </w:tc>
            </w:tr>
          </w:tbl>
          <w:p w14:paraId="412B8D29" w14:textId="55D6784B" w:rsidR="0064167B" w:rsidRPr="002F4C6F" w:rsidRDefault="0064167B" w:rsidP="59801B34">
            <w:pPr>
              <w:spacing w:before="60"/>
              <w:rPr>
                <w:b/>
                <w:bCs/>
                <w:i/>
                <w:iCs/>
                <w:color w:val="000000" w:themeColor="text1"/>
              </w:rPr>
            </w:pPr>
          </w:p>
          <w:p w14:paraId="30248F0A" w14:textId="3FA9A74B" w:rsidR="0064167B" w:rsidRPr="002F4C6F" w:rsidRDefault="59F22A99" w:rsidP="59801B34">
            <w:pPr>
              <w:spacing w:after="0"/>
              <w:jc w:val="center"/>
            </w:pPr>
            <w:r w:rsidRPr="59801B34">
              <w:rPr>
                <w:rFonts w:eastAsia="Arial" w:cs="Arial"/>
                <w:b/>
                <w:bCs/>
                <w:sz w:val="22"/>
                <w:szCs w:val="22"/>
                <w:lang w:val="en-US"/>
              </w:rPr>
              <w:t>Attendance in State High Schools</w:t>
            </w:r>
          </w:p>
          <w:tbl>
            <w:tblPr>
              <w:tblStyle w:val="TableGrid"/>
              <w:tblW w:w="0" w:type="auto"/>
              <w:tblLook w:val="06A0" w:firstRow="1" w:lastRow="0" w:firstColumn="1" w:lastColumn="0" w:noHBand="1" w:noVBand="1"/>
            </w:tblPr>
            <w:tblGrid>
              <w:gridCol w:w="6388"/>
              <w:gridCol w:w="2879"/>
            </w:tblGrid>
            <w:tr w:rsidR="59801B34" w14:paraId="0C01E4EB" w14:textId="77777777" w:rsidTr="59801B34">
              <w:trPr>
                <w:trHeight w:val="300"/>
              </w:trPr>
              <w:tc>
                <w:tcPr>
                  <w:tcW w:w="6390" w:type="dxa"/>
                </w:tcPr>
                <w:p w14:paraId="0BB69BC2" w14:textId="45082C5A" w:rsidR="59801B34" w:rsidRDefault="59801B34" w:rsidP="59801B34">
                  <w:pPr>
                    <w:spacing w:after="0"/>
                  </w:pPr>
                  <w:r w:rsidRPr="59801B34">
                    <w:rPr>
                      <w:rFonts w:eastAsia="Arial" w:cs="Arial"/>
                      <w:sz w:val="22"/>
                      <w:szCs w:val="22"/>
                      <w:lang w:val="en-US"/>
                    </w:rPr>
                    <w:t>Bedford High school</w:t>
                  </w:r>
                </w:p>
              </w:tc>
              <w:tc>
                <w:tcPr>
                  <w:tcW w:w="2880" w:type="dxa"/>
                </w:tcPr>
                <w:p w14:paraId="691DD2B7" w14:textId="5DC79D5F" w:rsidR="59801B34" w:rsidRDefault="59801B34" w:rsidP="59801B34">
                  <w:pPr>
                    <w:spacing w:after="0"/>
                  </w:pPr>
                  <w:r w:rsidRPr="59801B34">
                    <w:rPr>
                      <w:rFonts w:eastAsia="Arial" w:cs="Arial"/>
                      <w:sz w:val="22"/>
                      <w:szCs w:val="22"/>
                      <w:lang w:val="en-US"/>
                    </w:rPr>
                    <w:t>93.19%</w:t>
                  </w:r>
                </w:p>
              </w:tc>
            </w:tr>
            <w:tr w:rsidR="59801B34" w14:paraId="6EA40025" w14:textId="77777777" w:rsidTr="59801B34">
              <w:trPr>
                <w:trHeight w:val="300"/>
              </w:trPr>
              <w:tc>
                <w:tcPr>
                  <w:tcW w:w="6390" w:type="dxa"/>
                </w:tcPr>
                <w:p w14:paraId="49372740" w14:textId="09A82BF0" w:rsidR="59801B34" w:rsidRDefault="59801B34" w:rsidP="59801B34">
                  <w:pPr>
                    <w:spacing w:after="0"/>
                  </w:pPr>
                  <w:r w:rsidRPr="59801B34">
                    <w:rPr>
                      <w:rFonts w:eastAsia="Arial" w:cs="Arial"/>
                      <w:sz w:val="22"/>
                      <w:szCs w:val="22"/>
                      <w:lang w:val="en-US"/>
                    </w:rPr>
                    <w:t>National Average (State Secondary Schools – FFT to 11/10/24)</w:t>
                  </w:r>
                </w:p>
              </w:tc>
              <w:tc>
                <w:tcPr>
                  <w:tcW w:w="2880" w:type="dxa"/>
                </w:tcPr>
                <w:p w14:paraId="3CEE9551" w14:textId="63708EF2" w:rsidR="59801B34" w:rsidRDefault="59801B34" w:rsidP="59801B34">
                  <w:pPr>
                    <w:spacing w:after="0"/>
                  </w:pPr>
                  <w:r w:rsidRPr="59801B34">
                    <w:rPr>
                      <w:rFonts w:eastAsia="Arial" w:cs="Arial"/>
                      <w:sz w:val="22"/>
                      <w:szCs w:val="22"/>
                      <w:lang w:val="en-US"/>
                    </w:rPr>
                    <w:t>92.9%</w:t>
                  </w:r>
                </w:p>
              </w:tc>
            </w:tr>
            <w:tr w:rsidR="59801B34" w14:paraId="16331DEA" w14:textId="77777777" w:rsidTr="59801B34">
              <w:trPr>
                <w:trHeight w:val="300"/>
              </w:trPr>
              <w:tc>
                <w:tcPr>
                  <w:tcW w:w="6390" w:type="dxa"/>
                </w:tcPr>
                <w:p w14:paraId="7ED10CDF" w14:textId="00ECC3DD" w:rsidR="59801B34" w:rsidRDefault="59801B34" w:rsidP="59801B34">
                  <w:pPr>
                    <w:spacing w:after="0"/>
                  </w:pPr>
                  <w:r w:rsidRPr="59801B34">
                    <w:rPr>
                      <w:rFonts w:eastAsia="Arial" w:cs="Arial"/>
                      <w:sz w:val="22"/>
                      <w:szCs w:val="22"/>
                      <w:lang w:val="en-US"/>
                    </w:rPr>
                    <w:t>LA Average</w:t>
                  </w:r>
                </w:p>
              </w:tc>
              <w:tc>
                <w:tcPr>
                  <w:tcW w:w="2880" w:type="dxa"/>
                </w:tcPr>
                <w:p w14:paraId="2CE4A6AB" w14:textId="58293A92" w:rsidR="59801B34" w:rsidRDefault="59801B34" w:rsidP="59801B34">
                  <w:pPr>
                    <w:spacing w:after="0"/>
                  </w:pPr>
                  <w:r w:rsidRPr="59801B34">
                    <w:rPr>
                      <w:rFonts w:eastAsia="Arial" w:cs="Arial"/>
                      <w:sz w:val="22"/>
                      <w:szCs w:val="22"/>
                      <w:lang w:val="en-US"/>
                    </w:rPr>
                    <w:t>92.9%</w:t>
                  </w:r>
                </w:p>
              </w:tc>
            </w:tr>
          </w:tbl>
          <w:p w14:paraId="21F77407" w14:textId="0E6E5773" w:rsidR="0064167B" w:rsidRPr="002F4C6F" w:rsidRDefault="0064167B" w:rsidP="59801B34">
            <w:pPr>
              <w:spacing w:before="60"/>
              <w:rPr>
                <w:rFonts w:eastAsia="Arial" w:cs="Arial"/>
                <w:sz w:val="22"/>
                <w:szCs w:val="22"/>
              </w:rPr>
            </w:pPr>
          </w:p>
          <w:p w14:paraId="2DB576B6" w14:textId="3265DC2A" w:rsidR="0064167B" w:rsidRPr="002F4C6F" w:rsidRDefault="72F9AE1C" w:rsidP="59801B34">
            <w:pPr>
              <w:spacing w:before="60"/>
              <w:rPr>
                <w:b/>
                <w:bCs/>
                <w:i/>
                <w:iCs/>
                <w:color w:val="000000" w:themeColor="text1"/>
              </w:rPr>
            </w:pPr>
            <w:r w:rsidRPr="59801B34">
              <w:rPr>
                <w:rFonts w:eastAsia="Arial" w:cs="Arial"/>
                <w:sz w:val="22"/>
                <w:szCs w:val="22"/>
              </w:rPr>
              <w:t xml:space="preserve">Overall attendance has remained roughly in line with national average, with encouraging signs of improving attendance during the last two weeks of half term. </w:t>
            </w:r>
          </w:p>
          <w:p w14:paraId="0E1136A5" w14:textId="27277434" w:rsidR="0064167B" w:rsidRPr="002F4C6F" w:rsidRDefault="72F9AE1C" w:rsidP="59801B34">
            <w:pPr>
              <w:shd w:val="clear" w:color="auto" w:fill="FFFFFF" w:themeFill="background1"/>
              <w:spacing w:before="240"/>
            </w:pPr>
            <w:r w:rsidRPr="59801B34">
              <w:rPr>
                <w:rFonts w:eastAsia="Arial" w:cs="Arial"/>
                <w:sz w:val="22"/>
                <w:szCs w:val="22"/>
              </w:rPr>
              <w:t>At the start of HT1, through to week 3, we witnessed an increase in term time holidays. This has impacted the overall attendance figure. We have also had notification from parents regarding term time holidays for week 7 of HT1.</w:t>
            </w:r>
          </w:p>
          <w:p w14:paraId="0272611E" w14:textId="3B9793A9" w:rsidR="0064167B" w:rsidRPr="002F4C6F" w:rsidRDefault="72F9AE1C" w:rsidP="59801B34">
            <w:pPr>
              <w:shd w:val="clear" w:color="auto" w:fill="FFFFFF" w:themeFill="background1"/>
              <w:spacing w:before="240"/>
            </w:pPr>
            <w:r w:rsidRPr="59801B34">
              <w:rPr>
                <w:rFonts w:eastAsia="Arial" w:cs="Arial"/>
                <w:sz w:val="22"/>
                <w:szCs w:val="22"/>
              </w:rPr>
              <w:t>The LA average is 92.9% which shows we are roughly in line with our local schools, and facing similar challenges, however we are significantly lower than the LA average in Y7, which is unusual for a Y7 cohort.</w:t>
            </w:r>
          </w:p>
          <w:p w14:paraId="24D6C8BE" w14:textId="0089D9AB" w:rsidR="0064167B" w:rsidRPr="002F4C6F" w:rsidRDefault="72F9AE1C" w:rsidP="59801B34">
            <w:pPr>
              <w:shd w:val="clear" w:color="auto" w:fill="FFFFFF" w:themeFill="background1"/>
              <w:spacing w:before="240"/>
            </w:pPr>
            <w:r w:rsidRPr="59801B34">
              <w:rPr>
                <w:rFonts w:eastAsia="Arial" w:cs="Arial"/>
                <w:sz w:val="22"/>
                <w:szCs w:val="22"/>
              </w:rPr>
              <w:lastRenderedPageBreak/>
              <w:t>Overall attendance has improved year-on-year, with the gap to pre-</w:t>
            </w:r>
            <w:proofErr w:type="spellStart"/>
            <w:r w:rsidRPr="59801B34">
              <w:rPr>
                <w:rFonts w:eastAsia="Arial" w:cs="Arial"/>
                <w:sz w:val="22"/>
                <w:szCs w:val="22"/>
              </w:rPr>
              <w:t>covid</w:t>
            </w:r>
            <w:proofErr w:type="spellEnd"/>
            <w:r w:rsidRPr="59801B34">
              <w:rPr>
                <w:rFonts w:eastAsia="Arial" w:cs="Arial"/>
                <w:sz w:val="22"/>
                <w:szCs w:val="22"/>
              </w:rPr>
              <w:t xml:space="preserve"> figures narrowing.</w:t>
            </w:r>
          </w:p>
          <w:tbl>
            <w:tblPr>
              <w:tblStyle w:val="TableGrid"/>
              <w:tblW w:w="0" w:type="auto"/>
              <w:tblLook w:val="06A0" w:firstRow="1" w:lastRow="0" w:firstColumn="1" w:lastColumn="0" w:noHBand="1" w:noVBand="1"/>
            </w:tblPr>
            <w:tblGrid>
              <w:gridCol w:w="1853"/>
              <w:gridCol w:w="1853"/>
              <w:gridCol w:w="1854"/>
              <w:gridCol w:w="1853"/>
              <w:gridCol w:w="1854"/>
            </w:tblGrid>
            <w:tr w:rsidR="59801B34" w14:paraId="2AF0E5F4" w14:textId="77777777" w:rsidTr="59801B34">
              <w:trPr>
                <w:trHeight w:val="300"/>
              </w:trPr>
              <w:tc>
                <w:tcPr>
                  <w:tcW w:w="1854" w:type="dxa"/>
                </w:tcPr>
                <w:p w14:paraId="0228553A" w14:textId="4A09BC54" w:rsidR="59801B34" w:rsidRDefault="59801B34" w:rsidP="59801B34">
                  <w:pPr>
                    <w:spacing w:after="0"/>
                  </w:pPr>
                  <w:r w:rsidRPr="59801B34">
                    <w:rPr>
                      <w:rFonts w:eastAsia="Arial" w:cs="Arial"/>
                      <w:b/>
                      <w:bCs/>
                      <w:sz w:val="22"/>
                      <w:szCs w:val="22"/>
                      <w:lang w:val="en-US"/>
                    </w:rPr>
                    <w:t>Year Group</w:t>
                  </w:r>
                </w:p>
              </w:tc>
              <w:tc>
                <w:tcPr>
                  <w:tcW w:w="3708" w:type="dxa"/>
                  <w:gridSpan w:val="2"/>
                </w:tcPr>
                <w:p w14:paraId="78EAC13E" w14:textId="567E4559" w:rsidR="59801B34" w:rsidRDefault="59801B34" w:rsidP="59801B34">
                  <w:pPr>
                    <w:spacing w:after="0"/>
                    <w:jc w:val="center"/>
                  </w:pPr>
                  <w:r w:rsidRPr="59801B34">
                    <w:rPr>
                      <w:rFonts w:eastAsia="Arial" w:cs="Arial"/>
                      <w:b/>
                      <w:bCs/>
                      <w:sz w:val="22"/>
                      <w:szCs w:val="22"/>
                      <w:lang w:val="en-US"/>
                    </w:rPr>
                    <w:t>PP</w:t>
                  </w:r>
                </w:p>
              </w:tc>
              <w:tc>
                <w:tcPr>
                  <w:tcW w:w="3708" w:type="dxa"/>
                  <w:gridSpan w:val="2"/>
                </w:tcPr>
                <w:p w14:paraId="4645CF42" w14:textId="1C57C298" w:rsidR="619E297F" w:rsidRDefault="619E297F" w:rsidP="59801B34">
                  <w:pPr>
                    <w:jc w:val="center"/>
                    <w:rPr>
                      <w:rFonts w:eastAsia="Arial" w:cs="Arial"/>
                      <w:b/>
                      <w:bCs/>
                      <w:sz w:val="22"/>
                      <w:szCs w:val="22"/>
                      <w:lang w:val="en-US"/>
                    </w:rPr>
                  </w:pPr>
                  <w:r w:rsidRPr="59801B34">
                    <w:rPr>
                      <w:rFonts w:eastAsia="Arial" w:cs="Arial"/>
                      <w:b/>
                      <w:bCs/>
                      <w:sz w:val="22"/>
                      <w:szCs w:val="22"/>
                      <w:lang w:val="en-US"/>
                    </w:rPr>
                    <w:t>Non-PP</w:t>
                  </w:r>
                </w:p>
              </w:tc>
            </w:tr>
            <w:tr w:rsidR="59801B34" w14:paraId="0004B268" w14:textId="77777777" w:rsidTr="59801B34">
              <w:trPr>
                <w:trHeight w:val="300"/>
              </w:trPr>
              <w:tc>
                <w:tcPr>
                  <w:tcW w:w="1854" w:type="dxa"/>
                </w:tcPr>
                <w:p w14:paraId="246FCD98" w14:textId="4E05729D" w:rsidR="59801B34" w:rsidRDefault="59801B34" w:rsidP="59801B34">
                  <w:pPr>
                    <w:rPr>
                      <w:b/>
                      <w:bCs/>
                      <w:i/>
                      <w:iCs/>
                      <w:color w:val="000000" w:themeColor="text1"/>
                    </w:rPr>
                  </w:pPr>
                </w:p>
              </w:tc>
              <w:tc>
                <w:tcPr>
                  <w:tcW w:w="1854" w:type="dxa"/>
                </w:tcPr>
                <w:p w14:paraId="5FD8386B" w14:textId="12399431" w:rsidR="619E297F" w:rsidRDefault="619E297F" w:rsidP="59801B34">
                  <w:pPr>
                    <w:rPr>
                      <w:b/>
                      <w:bCs/>
                      <w:i/>
                      <w:iCs/>
                      <w:color w:val="000000" w:themeColor="text1"/>
                    </w:rPr>
                  </w:pPr>
                  <w:r w:rsidRPr="59801B34">
                    <w:rPr>
                      <w:b/>
                      <w:bCs/>
                      <w:i/>
                      <w:iCs/>
                      <w:color w:val="000000" w:themeColor="text1"/>
                    </w:rPr>
                    <w:t>Number of Students</w:t>
                  </w:r>
                </w:p>
              </w:tc>
              <w:tc>
                <w:tcPr>
                  <w:tcW w:w="1854" w:type="dxa"/>
                </w:tcPr>
                <w:p w14:paraId="5EC8404B" w14:textId="02A87365" w:rsidR="619E297F" w:rsidRDefault="619E297F" w:rsidP="59801B34">
                  <w:pPr>
                    <w:rPr>
                      <w:b/>
                      <w:bCs/>
                      <w:i/>
                      <w:iCs/>
                      <w:color w:val="000000" w:themeColor="text1"/>
                    </w:rPr>
                  </w:pPr>
                  <w:r w:rsidRPr="59801B34">
                    <w:rPr>
                      <w:b/>
                      <w:bCs/>
                      <w:i/>
                      <w:iCs/>
                      <w:color w:val="000000" w:themeColor="text1"/>
                    </w:rPr>
                    <w:t>Average Attendance</w:t>
                  </w:r>
                </w:p>
              </w:tc>
              <w:tc>
                <w:tcPr>
                  <w:tcW w:w="1854" w:type="dxa"/>
                </w:tcPr>
                <w:p w14:paraId="07F63E31" w14:textId="12399431" w:rsidR="59801B34" w:rsidRDefault="59801B34" w:rsidP="59801B34">
                  <w:pPr>
                    <w:rPr>
                      <w:b/>
                      <w:bCs/>
                      <w:i/>
                      <w:iCs/>
                      <w:color w:val="000000" w:themeColor="text1"/>
                    </w:rPr>
                  </w:pPr>
                  <w:r w:rsidRPr="59801B34">
                    <w:rPr>
                      <w:b/>
                      <w:bCs/>
                      <w:i/>
                      <w:iCs/>
                      <w:color w:val="000000" w:themeColor="text1"/>
                    </w:rPr>
                    <w:t>Number of Students</w:t>
                  </w:r>
                </w:p>
              </w:tc>
              <w:tc>
                <w:tcPr>
                  <w:tcW w:w="1854" w:type="dxa"/>
                </w:tcPr>
                <w:p w14:paraId="12F78BF1" w14:textId="02A87365" w:rsidR="59801B34" w:rsidRDefault="59801B34" w:rsidP="59801B34">
                  <w:pPr>
                    <w:rPr>
                      <w:b/>
                      <w:bCs/>
                      <w:i/>
                      <w:iCs/>
                      <w:color w:val="000000" w:themeColor="text1"/>
                    </w:rPr>
                  </w:pPr>
                  <w:r w:rsidRPr="59801B34">
                    <w:rPr>
                      <w:b/>
                      <w:bCs/>
                      <w:i/>
                      <w:iCs/>
                      <w:color w:val="000000" w:themeColor="text1"/>
                    </w:rPr>
                    <w:t>Average Attendance</w:t>
                  </w:r>
                </w:p>
              </w:tc>
            </w:tr>
            <w:tr w:rsidR="59801B34" w14:paraId="7FD532A6" w14:textId="77777777" w:rsidTr="59801B34">
              <w:trPr>
                <w:trHeight w:val="300"/>
              </w:trPr>
              <w:tc>
                <w:tcPr>
                  <w:tcW w:w="1854" w:type="dxa"/>
                </w:tcPr>
                <w:p w14:paraId="642691CA" w14:textId="31D70557" w:rsidR="619E297F" w:rsidRDefault="619E297F" w:rsidP="59801B34">
                  <w:pPr>
                    <w:rPr>
                      <w:b/>
                      <w:bCs/>
                      <w:i/>
                      <w:iCs/>
                      <w:color w:val="000000" w:themeColor="text1"/>
                    </w:rPr>
                  </w:pPr>
                  <w:r w:rsidRPr="59801B34">
                    <w:rPr>
                      <w:b/>
                      <w:bCs/>
                      <w:i/>
                      <w:iCs/>
                      <w:color w:val="000000" w:themeColor="text1"/>
                    </w:rPr>
                    <w:t>Year 7</w:t>
                  </w:r>
                </w:p>
              </w:tc>
              <w:tc>
                <w:tcPr>
                  <w:tcW w:w="1854" w:type="dxa"/>
                </w:tcPr>
                <w:p w14:paraId="099B4467" w14:textId="5844E3A6" w:rsidR="619E297F" w:rsidRDefault="619E297F" w:rsidP="59801B34">
                  <w:pPr>
                    <w:rPr>
                      <w:i/>
                      <w:iCs/>
                      <w:color w:val="000000" w:themeColor="text1"/>
                    </w:rPr>
                  </w:pPr>
                  <w:r w:rsidRPr="59801B34">
                    <w:rPr>
                      <w:i/>
                      <w:iCs/>
                      <w:color w:val="000000" w:themeColor="text1"/>
                    </w:rPr>
                    <w:t>95</w:t>
                  </w:r>
                </w:p>
              </w:tc>
              <w:tc>
                <w:tcPr>
                  <w:tcW w:w="1854" w:type="dxa"/>
                </w:tcPr>
                <w:p w14:paraId="6F093605" w14:textId="041FC45E" w:rsidR="619E297F" w:rsidRDefault="619E297F" w:rsidP="59801B34">
                  <w:pPr>
                    <w:rPr>
                      <w:i/>
                      <w:iCs/>
                      <w:color w:val="000000" w:themeColor="text1"/>
                    </w:rPr>
                  </w:pPr>
                  <w:r w:rsidRPr="59801B34">
                    <w:rPr>
                      <w:i/>
                      <w:iCs/>
                      <w:color w:val="000000" w:themeColor="text1"/>
                    </w:rPr>
                    <w:t>90.</w:t>
                  </w:r>
                  <w:r w:rsidR="13F487E2" w:rsidRPr="59801B34">
                    <w:rPr>
                      <w:i/>
                      <w:iCs/>
                      <w:color w:val="000000" w:themeColor="text1"/>
                    </w:rPr>
                    <w:t>62</w:t>
                  </w:r>
                </w:p>
              </w:tc>
              <w:tc>
                <w:tcPr>
                  <w:tcW w:w="1854" w:type="dxa"/>
                </w:tcPr>
                <w:p w14:paraId="26CCEB07" w14:textId="6301201F" w:rsidR="13F487E2" w:rsidRDefault="13F487E2" w:rsidP="59801B34">
                  <w:pPr>
                    <w:rPr>
                      <w:i/>
                      <w:iCs/>
                      <w:color w:val="000000" w:themeColor="text1"/>
                    </w:rPr>
                  </w:pPr>
                  <w:r w:rsidRPr="59801B34">
                    <w:rPr>
                      <w:i/>
                      <w:iCs/>
                      <w:color w:val="000000" w:themeColor="text1"/>
                    </w:rPr>
                    <w:t>143</w:t>
                  </w:r>
                </w:p>
              </w:tc>
              <w:tc>
                <w:tcPr>
                  <w:tcW w:w="1854" w:type="dxa"/>
                </w:tcPr>
                <w:p w14:paraId="4189806B" w14:textId="5AF7D911" w:rsidR="13F487E2" w:rsidRDefault="13F487E2" w:rsidP="59801B34">
                  <w:pPr>
                    <w:rPr>
                      <w:i/>
                      <w:iCs/>
                      <w:color w:val="000000" w:themeColor="text1"/>
                    </w:rPr>
                  </w:pPr>
                  <w:r w:rsidRPr="59801B34">
                    <w:rPr>
                      <w:i/>
                      <w:iCs/>
                      <w:color w:val="000000" w:themeColor="text1"/>
                    </w:rPr>
                    <w:t>96.5</w:t>
                  </w:r>
                </w:p>
              </w:tc>
            </w:tr>
            <w:tr w:rsidR="59801B34" w14:paraId="2826177E" w14:textId="77777777" w:rsidTr="59801B34">
              <w:trPr>
                <w:trHeight w:val="300"/>
              </w:trPr>
              <w:tc>
                <w:tcPr>
                  <w:tcW w:w="1854" w:type="dxa"/>
                </w:tcPr>
                <w:p w14:paraId="4CCE3655" w14:textId="04C6E9A1" w:rsidR="619E297F" w:rsidRDefault="619E297F" w:rsidP="59801B34">
                  <w:pPr>
                    <w:rPr>
                      <w:b/>
                      <w:bCs/>
                      <w:i/>
                      <w:iCs/>
                      <w:color w:val="000000" w:themeColor="text1"/>
                    </w:rPr>
                  </w:pPr>
                  <w:r w:rsidRPr="59801B34">
                    <w:rPr>
                      <w:b/>
                      <w:bCs/>
                      <w:i/>
                      <w:iCs/>
                      <w:color w:val="000000" w:themeColor="text1"/>
                    </w:rPr>
                    <w:t>Year 8</w:t>
                  </w:r>
                </w:p>
              </w:tc>
              <w:tc>
                <w:tcPr>
                  <w:tcW w:w="1854" w:type="dxa"/>
                </w:tcPr>
                <w:p w14:paraId="332AFD22" w14:textId="3904F7CF" w:rsidR="619E297F" w:rsidRDefault="619E297F" w:rsidP="59801B34">
                  <w:pPr>
                    <w:rPr>
                      <w:i/>
                      <w:iCs/>
                      <w:color w:val="000000" w:themeColor="text1"/>
                    </w:rPr>
                  </w:pPr>
                  <w:r w:rsidRPr="59801B34">
                    <w:rPr>
                      <w:i/>
                      <w:iCs/>
                      <w:color w:val="000000" w:themeColor="text1"/>
                    </w:rPr>
                    <w:t>75</w:t>
                  </w:r>
                </w:p>
              </w:tc>
              <w:tc>
                <w:tcPr>
                  <w:tcW w:w="1854" w:type="dxa"/>
                </w:tcPr>
                <w:p w14:paraId="60DDB23E" w14:textId="79452D5C" w:rsidR="619E297F" w:rsidRDefault="619E297F" w:rsidP="59801B34">
                  <w:pPr>
                    <w:rPr>
                      <w:i/>
                      <w:iCs/>
                      <w:color w:val="000000" w:themeColor="text1"/>
                    </w:rPr>
                  </w:pPr>
                  <w:r w:rsidRPr="59801B34">
                    <w:rPr>
                      <w:i/>
                      <w:iCs/>
                      <w:color w:val="000000" w:themeColor="text1"/>
                    </w:rPr>
                    <w:t>87.</w:t>
                  </w:r>
                  <w:r w:rsidR="22D1484D" w:rsidRPr="59801B34">
                    <w:rPr>
                      <w:i/>
                      <w:iCs/>
                      <w:color w:val="000000" w:themeColor="text1"/>
                    </w:rPr>
                    <w:t>98</w:t>
                  </w:r>
                </w:p>
              </w:tc>
              <w:tc>
                <w:tcPr>
                  <w:tcW w:w="1854" w:type="dxa"/>
                </w:tcPr>
                <w:p w14:paraId="12E2AA21" w14:textId="702BAA2B" w:rsidR="22D1484D" w:rsidRDefault="22D1484D" w:rsidP="59801B34">
                  <w:pPr>
                    <w:rPr>
                      <w:i/>
                      <w:iCs/>
                      <w:color w:val="000000" w:themeColor="text1"/>
                    </w:rPr>
                  </w:pPr>
                  <w:r w:rsidRPr="59801B34">
                    <w:rPr>
                      <w:i/>
                      <w:iCs/>
                      <w:color w:val="000000" w:themeColor="text1"/>
                    </w:rPr>
                    <w:t>148</w:t>
                  </w:r>
                </w:p>
              </w:tc>
              <w:tc>
                <w:tcPr>
                  <w:tcW w:w="1854" w:type="dxa"/>
                </w:tcPr>
                <w:p w14:paraId="17208228" w14:textId="596C6D7C" w:rsidR="22D1484D" w:rsidRDefault="22D1484D" w:rsidP="59801B34">
                  <w:pPr>
                    <w:rPr>
                      <w:i/>
                      <w:iCs/>
                      <w:color w:val="000000" w:themeColor="text1"/>
                    </w:rPr>
                  </w:pPr>
                  <w:r w:rsidRPr="59801B34">
                    <w:rPr>
                      <w:i/>
                      <w:iCs/>
                      <w:color w:val="000000" w:themeColor="text1"/>
                    </w:rPr>
                    <w:t>96.4</w:t>
                  </w:r>
                </w:p>
              </w:tc>
            </w:tr>
            <w:tr w:rsidR="59801B34" w14:paraId="7560A645" w14:textId="77777777" w:rsidTr="59801B34">
              <w:trPr>
                <w:trHeight w:val="300"/>
              </w:trPr>
              <w:tc>
                <w:tcPr>
                  <w:tcW w:w="1854" w:type="dxa"/>
                </w:tcPr>
                <w:p w14:paraId="11266586" w14:textId="544DA443" w:rsidR="619E297F" w:rsidRDefault="619E297F" w:rsidP="59801B34">
                  <w:pPr>
                    <w:rPr>
                      <w:b/>
                      <w:bCs/>
                      <w:i/>
                      <w:iCs/>
                      <w:color w:val="000000" w:themeColor="text1"/>
                    </w:rPr>
                  </w:pPr>
                  <w:r w:rsidRPr="59801B34">
                    <w:rPr>
                      <w:b/>
                      <w:bCs/>
                      <w:i/>
                      <w:iCs/>
                      <w:color w:val="000000" w:themeColor="text1"/>
                    </w:rPr>
                    <w:t>Year 9</w:t>
                  </w:r>
                </w:p>
              </w:tc>
              <w:tc>
                <w:tcPr>
                  <w:tcW w:w="1854" w:type="dxa"/>
                </w:tcPr>
                <w:p w14:paraId="2357F6A6" w14:textId="3BC03706" w:rsidR="619E297F" w:rsidRDefault="619E297F" w:rsidP="59801B34">
                  <w:pPr>
                    <w:rPr>
                      <w:i/>
                      <w:iCs/>
                      <w:color w:val="000000" w:themeColor="text1"/>
                    </w:rPr>
                  </w:pPr>
                  <w:r w:rsidRPr="59801B34">
                    <w:rPr>
                      <w:i/>
                      <w:iCs/>
                      <w:color w:val="000000" w:themeColor="text1"/>
                    </w:rPr>
                    <w:t>85</w:t>
                  </w:r>
                </w:p>
              </w:tc>
              <w:tc>
                <w:tcPr>
                  <w:tcW w:w="1854" w:type="dxa"/>
                </w:tcPr>
                <w:p w14:paraId="02558A61" w14:textId="06768634" w:rsidR="619E297F" w:rsidRDefault="619E297F" w:rsidP="59801B34">
                  <w:pPr>
                    <w:rPr>
                      <w:i/>
                      <w:iCs/>
                      <w:color w:val="000000" w:themeColor="text1"/>
                    </w:rPr>
                  </w:pPr>
                  <w:r w:rsidRPr="59801B34">
                    <w:rPr>
                      <w:i/>
                      <w:iCs/>
                      <w:color w:val="000000" w:themeColor="text1"/>
                    </w:rPr>
                    <w:t>88.</w:t>
                  </w:r>
                  <w:r w:rsidR="6BAACE6D" w:rsidRPr="59801B34">
                    <w:rPr>
                      <w:i/>
                      <w:iCs/>
                      <w:color w:val="000000" w:themeColor="text1"/>
                    </w:rPr>
                    <w:t>29</w:t>
                  </w:r>
                </w:p>
              </w:tc>
              <w:tc>
                <w:tcPr>
                  <w:tcW w:w="1854" w:type="dxa"/>
                </w:tcPr>
                <w:p w14:paraId="0D29FCB0" w14:textId="2A167D71" w:rsidR="6BAACE6D" w:rsidRDefault="6BAACE6D" w:rsidP="59801B34">
                  <w:pPr>
                    <w:rPr>
                      <w:i/>
                      <w:iCs/>
                      <w:color w:val="000000" w:themeColor="text1"/>
                    </w:rPr>
                  </w:pPr>
                  <w:r w:rsidRPr="59801B34">
                    <w:rPr>
                      <w:i/>
                      <w:iCs/>
                      <w:color w:val="000000" w:themeColor="text1"/>
                    </w:rPr>
                    <w:t>150</w:t>
                  </w:r>
                </w:p>
              </w:tc>
              <w:tc>
                <w:tcPr>
                  <w:tcW w:w="1854" w:type="dxa"/>
                </w:tcPr>
                <w:p w14:paraId="12539F8F" w14:textId="6DF71567" w:rsidR="6BAACE6D" w:rsidRDefault="6BAACE6D" w:rsidP="59801B34">
                  <w:pPr>
                    <w:rPr>
                      <w:i/>
                      <w:iCs/>
                      <w:color w:val="000000" w:themeColor="text1"/>
                    </w:rPr>
                  </w:pPr>
                  <w:r w:rsidRPr="59801B34">
                    <w:rPr>
                      <w:i/>
                      <w:iCs/>
                      <w:color w:val="000000" w:themeColor="text1"/>
                    </w:rPr>
                    <w:t>94.87</w:t>
                  </w:r>
                </w:p>
              </w:tc>
            </w:tr>
            <w:tr w:rsidR="59801B34" w14:paraId="7912EE48" w14:textId="77777777" w:rsidTr="59801B34">
              <w:trPr>
                <w:trHeight w:val="300"/>
              </w:trPr>
              <w:tc>
                <w:tcPr>
                  <w:tcW w:w="1854" w:type="dxa"/>
                </w:tcPr>
                <w:p w14:paraId="78FB15B4" w14:textId="2764464A" w:rsidR="619E297F" w:rsidRDefault="619E297F" w:rsidP="59801B34">
                  <w:pPr>
                    <w:rPr>
                      <w:b/>
                      <w:bCs/>
                      <w:i/>
                      <w:iCs/>
                      <w:color w:val="000000" w:themeColor="text1"/>
                    </w:rPr>
                  </w:pPr>
                  <w:r w:rsidRPr="59801B34">
                    <w:rPr>
                      <w:b/>
                      <w:bCs/>
                      <w:i/>
                      <w:iCs/>
                      <w:color w:val="000000" w:themeColor="text1"/>
                    </w:rPr>
                    <w:t>Year 10</w:t>
                  </w:r>
                </w:p>
              </w:tc>
              <w:tc>
                <w:tcPr>
                  <w:tcW w:w="1854" w:type="dxa"/>
                </w:tcPr>
                <w:p w14:paraId="75A5FF1E" w14:textId="68BBF88B" w:rsidR="619E297F" w:rsidRDefault="619E297F" w:rsidP="59801B34">
                  <w:pPr>
                    <w:rPr>
                      <w:i/>
                      <w:iCs/>
                      <w:color w:val="000000" w:themeColor="text1"/>
                    </w:rPr>
                  </w:pPr>
                  <w:r w:rsidRPr="59801B34">
                    <w:rPr>
                      <w:i/>
                      <w:iCs/>
                      <w:color w:val="000000" w:themeColor="text1"/>
                    </w:rPr>
                    <w:t>84</w:t>
                  </w:r>
                </w:p>
              </w:tc>
              <w:tc>
                <w:tcPr>
                  <w:tcW w:w="1854" w:type="dxa"/>
                </w:tcPr>
                <w:p w14:paraId="35E43072" w14:textId="57C2045B" w:rsidR="619E297F" w:rsidRDefault="619E297F" w:rsidP="59801B34">
                  <w:pPr>
                    <w:rPr>
                      <w:i/>
                      <w:iCs/>
                      <w:color w:val="000000" w:themeColor="text1"/>
                    </w:rPr>
                  </w:pPr>
                  <w:r w:rsidRPr="59801B34">
                    <w:rPr>
                      <w:i/>
                      <w:iCs/>
                      <w:color w:val="000000" w:themeColor="text1"/>
                    </w:rPr>
                    <w:t>87.</w:t>
                  </w:r>
                  <w:r w:rsidR="14321EC2" w:rsidRPr="59801B34">
                    <w:rPr>
                      <w:i/>
                      <w:iCs/>
                      <w:color w:val="000000" w:themeColor="text1"/>
                    </w:rPr>
                    <w:t>65</w:t>
                  </w:r>
                </w:p>
              </w:tc>
              <w:tc>
                <w:tcPr>
                  <w:tcW w:w="1854" w:type="dxa"/>
                </w:tcPr>
                <w:p w14:paraId="305CB94E" w14:textId="6A3C23F7" w:rsidR="14321EC2" w:rsidRDefault="14321EC2" w:rsidP="59801B34">
                  <w:pPr>
                    <w:rPr>
                      <w:i/>
                      <w:iCs/>
                      <w:color w:val="000000" w:themeColor="text1"/>
                    </w:rPr>
                  </w:pPr>
                  <w:r w:rsidRPr="59801B34">
                    <w:rPr>
                      <w:i/>
                      <w:iCs/>
                      <w:color w:val="000000" w:themeColor="text1"/>
                    </w:rPr>
                    <w:t>136</w:t>
                  </w:r>
                </w:p>
              </w:tc>
              <w:tc>
                <w:tcPr>
                  <w:tcW w:w="1854" w:type="dxa"/>
                </w:tcPr>
                <w:p w14:paraId="44D6757A" w14:textId="5660913B" w:rsidR="14321EC2" w:rsidRDefault="14321EC2" w:rsidP="59801B34">
                  <w:pPr>
                    <w:rPr>
                      <w:i/>
                      <w:iCs/>
                      <w:color w:val="000000" w:themeColor="text1"/>
                    </w:rPr>
                  </w:pPr>
                  <w:r w:rsidRPr="59801B34">
                    <w:rPr>
                      <w:i/>
                      <w:iCs/>
                      <w:color w:val="000000" w:themeColor="text1"/>
                    </w:rPr>
                    <w:t>93.53</w:t>
                  </w:r>
                </w:p>
              </w:tc>
            </w:tr>
            <w:tr w:rsidR="59801B34" w14:paraId="71FF40FB" w14:textId="77777777" w:rsidTr="59801B34">
              <w:trPr>
                <w:trHeight w:val="300"/>
              </w:trPr>
              <w:tc>
                <w:tcPr>
                  <w:tcW w:w="1854" w:type="dxa"/>
                </w:tcPr>
                <w:p w14:paraId="4EB3181E" w14:textId="714ABAAE" w:rsidR="619E297F" w:rsidRDefault="619E297F" w:rsidP="59801B34">
                  <w:pPr>
                    <w:rPr>
                      <w:b/>
                      <w:bCs/>
                      <w:i/>
                      <w:iCs/>
                      <w:color w:val="000000" w:themeColor="text1"/>
                    </w:rPr>
                  </w:pPr>
                  <w:r w:rsidRPr="59801B34">
                    <w:rPr>
                      <w:b/>
                      <w:bCs/>
                      <w:i/>
                      <w:iCs/>
                      <w:color w:val="000000" w:themeColor="text1"/>
                    </w:rPr>
                    <w:t>Year 11</w:t>
                  </w:r>
                </w:p>
              </w:tc>
              <w:tc>
                <w:tcPr>
                  <w:tcW w:w="1854" w:type="dxa"/>
                </w:tcPr>
                <w:p w14:paraId="1EDE48CB" w14:textId="1F15CCBE" w:rsidR="619E297F" w:rsidRDefault="619E297F" w:rsidP="59801B34">
                  <w:pPr>
                    <w:rPr>
                      <w:i/>
                      <w:iCs/>
                      <w:color w:val="000000" w:themeColor="text1"/>
                    </w:rPr>
                  </w:pPr>
                  <w:r w:rsidRPr="59801B34">
                    <w:rPr>
                      <w:i/>
                      <w:iCs/>
                      <w:color w:val="000000" w:themeColor="text1"/>
                    </w:rPr>
                    <w:t>74</w:t>
                  </w:r>
                </w:p>
              </w:tc>
              <w:tc>
                <w:tcPr>
                  <w:tcW w:w="1854" w:type="dxa"/>
                </w:tcPr>
                <w:p w14:paraId="70E2E241" w14:textId="5E8016A0" w:rsidR="619E297F" w:rsidRDefault="619E297F" w:rsidP="59801B34">
                  <w:pPr>
                    <w:rPr>
                      <w:i/>
                      <w:iCs/>
                      <w:color w:val="000000" w:themeColor="text1"/>
                    </w:rPr>
                  </w:pPr>
                  <w:r w:rsidRPr="59801B34">
                    <w:rPr>
                      <w:i/>
                      <w:iCs/>
                      <w:color w:val="000000" w:themeColor="text1"/>
                    </w:rPr>
                    <w:t>8</w:t>
                  </w:r>
                  <w:r w:rsidR="58F933AF" w:rsidRPr="59801B34">
                    <w:rPr>
                      <w:i/>
                      <w:iCs/>
                      <w:color w:val="000000" w:themeColor="text1"/>
                    </w:rPr>
                    <w:t>8.25</w:t>
                  </w:r>
                </w:p>
              </w:tc>
              <w:tc>
                <w:tcPr>
                  <w:tcW w:w="1854" w:type="dxa"/>
                </w:tcPr>
                <w:p w14:paraId="74A3A17B" w14:textId="344BA8B2" w:rsidR="58F933AF" w:rsidRDefault="58F933AF" w:rsidP="59801B34">
                  <w:pPr>
                    <w:rPr>
                      <w:i/>
                      <w:iCs/>
                      <w:color w:val="000000" w:themeColor="text1"/>
                    </w:rPr>
                  </w:pPr>
                  <w:r w:rsidRPr="59801B34">
                    <w:rPr>
                      <w:i/>
                      <w:iCs/>
                      <w:color w:val="000000" w:themeColor="text1"/>
                    </w:rPr>
                    <w:t>136</w:t>
                  </w:r>
                </w:p>
              </w:tc>
              <w:tc>
                <w:tcPr>
                  <w:tcW w:w="1854" w:type="dxa"/>
                </w:tcPr>
                <w:p w14:paraId="383A0744" w14:textId="799CAE17" w:rsidR="58F933AF" w:rsidRDefault="58F933AF" w:rsidP="59801B34">
                  <w:pPr>
                    <w:rPr>
                      <w:i/>
                      <w:iCs/>
                      <w:color w:val="000000" w:themeColor="text1"/>
                    </w:rPr>
                  </w:pPr>
                  <w:r w:rsidRPr="59801B34">
                    <w:rPr>
                      <w:i/>
                      <w:iCs/>
                      <w:color w:val="000000" w:themeColor="text1"/>
                    </w:rPr>
                    <w:t>94.12</w:t>
                  </w:r>
                </w:p>
              </w:tc>
            </w:tr>
          </w:tbl>
          <w:p w14:paraId="3FDF07D4" w14:textId="341F83A0" w:rsidR="0064167B" w:rsidRPr="002F4C6F" w:rsidRDefault="58F933AF" w:rsidP="59801B34">
            <w:pPr>
              <w:spacing w:before="60"/>
              <w:rPr>
                <w:i/>
                <w:iCs/>
                <w:color w:val="000000" w:themeColor="text1"/>
              </w:rPr>
            </w:pPr>
            <w:r w:rsidRPr="59801B34">
              <w:rPr>
                <w:i/>
                <w:iCs/>
                <w:color w:val="000000" w:themeColor="text1"/>
              </w:rPr>
              <w:t xml:space="preserve">We continue to see gaps between disadvantaged and non-disadvantaged groups. These gaps are wider still when </w:t>
            </w:r>
            <w:r w:rsidR="0E5538C6" w:rsidRPr="59801B34">
              <w:rPr>
                <w:i/>
                <w:iCs/>
                <w:color w:val="000000" w:themeColor="text1"/>
              </w:rPr>
              <w:t xml:space="preserve">considering SEND students who are also pupil premium. </w:t>
            </w:r>
            <w:r w:rsidRPr="59801B34">
              <w:rPr>
                <w:i/>
                <w:iCs/>
                <w:color w:val="000000" w:themeColor="text1"/>
              </w:rPr>
              <w:t xml:space="preserve"> </w:t>
            </w:r>
          </w:p>
          <w:p w14:paraId="68D0D0DC" w14:textId="01818CF8" w:rsidR="0064167B" w:rsidRPr="002F4C6F" w:rsidRDefault="459580DF" w:rsidP="59801B34">
            <w:pPr>
              <w:spacing w:before="60"/>
              <w:rPr>
                <w:i/>
                <w:iCs/>
                <w:color w:val="000000" w:themeColor="text1"/>
              </w:rPr>
            </w:pPr>
            <w:r w:rsidRPr="59801B34">
              <w:rPr>
                <w:i/>
                <w:iCs/>
                <w:color w:val="000000" w:themeColor="text1"/>
              </w:rPr>
              <w:t xml:space="preserve">Y8 have the widest gap (8.42%), followed by Y9 (6.58%). Y7, Y10 and Y11 have similar gaps of just under 6%. </w:t>
            </w:r>
            <w:r w:rsidR="6082DD21" w:rsidRPr="59801B34">
              <w:rPr>
                <w:i/>
                <w:iCs/>
                <w:color w:val="000000" w:themeColor="text1"/>
              </w:rPr>
              <w:t xml:space="preserve">During HT2 there will be a particular focus of SEND and PP combined. </w:t>
            </w:r>
          </w:p>
          <w:p w14:paraId="2D87EA89" w14:textId="25D1E1F4" w:rsidR="0064167B" w:rsidRPr="002F4C6F" w:rsidRDefault="604CA374" w:rsidP="59801B34">
            <w:pPr>
              <w:spacing w:before="60"/>
              <w:rPr>
                <w:b/>
                <w:bCs/>
                <w:i/>
                <w:iCs/>
                <w:color w:val="000000" w:themeColor="text1"/>
              </w:rPr>
            </w:pPr>
            <w:r w:rsidRPr="59801B34">
              <w:rPr>
                <w:b/>
                <w:bCs/>
                <w:i/>
                <w:iCs/>
                <w:color w:val="000000" w:themeColor="text1"/>
              </w:rPr>
              <w:t>Behaviour and routines</w:t>
            </w:r>
            <w:r w:rsidR="1BE6D75E" w:rsidRPr="59801B34">
              <w:rPr>
                <w:b/>
                <w:bCs/>
                <w:i/>
                <w:iCs/>
                <w:color w:val="000000" w:themeColor="text1"/>
              </w:rPr>
              <w:t xml:space="preserve"> review</w:t>
            </w:r>
          </w:p>
          <w:p w14:paraId="51818B1A" w14:textId="31EB0E38" w:rsidR="0064167B" w:rsidRPr="002F4C6F" w:rsidRDefault="059A1803" w:rsidP="59801B34">
            <w:pPr>
              <w:spacing w:before="60" w:after="60"/>
              <w:ind w:left="57" w:right="57"/>
            </w:pPr>
            <w:r w:rsidRPr="59801B34">
              <w:rPr>
                <w:rFonts w:eastAsia="Arial" w:cs="Arial"/>
                <w:b/>
                <w:bCs/>
                <w:color w:val="0D0D0D" w:themeColor="text1" w:themeTint="F2"/>
              </w:rPr>
              <w:t>Character Education</w:t>
            </w:r>
          </w:p>
          <w:p w14:paraId="628548D7" w14:textId="29D46FB2" w:rsidR="0064167B" w:rsidRPr="002F4C6F" w:rsidRDefault="059A1803" w:rsidP="59801B34">
            <w:pPr>
              <w:spacing w:before="60" w:after="60"/>
              <w:ind w:left="57" w:right="57"/>
              <w:rPr>
                <w:rFonts w:eastAsia="Arial" w:cs="Arial"/>
                <w:color w:val="0D0D0D" w:themeColor="text1" w:themeTint="F2"/>
              </w:rPr>
            </w:pPr>
            <w:r w:rsidRPr="59801B34">
              <w:rPr>
                <w:rFonts w:eastAsia="Arial" w:cs="Arial"/>
                <w:color w:val="0D0D0D" w:themeColor="text1" w:themeTint="F2"/>
              </w:rPr>
              <w:t xml:space="preserve">SPIRIT </w:t>
            </w:r>
            <w:r w:rsidR="11797A08" w:rsidRPr="59801B34">
              <w:rPr>
                <w:rFonts w:eastAsia="Arial" w:cs="Arial"/>
                <w:color w:val="0D0D0D" w:themeColor="text1" w:themeTint="F2"/>
              </w:rPr>
              <w:t xml:space="preserve">now fully rolled out as a full character education programme, with form time learning, rewards in place and display around school.  </w:t>
            </w:r>
            <w:r w:rsidR="11797A08" w:rsidRPr="59801B34">
              <w:rPr>
                <w:rFonts w:eastAsia="Arial" w:cs="Arial"/>
                <w:i/>
                <w:iCs/>
                <w:color w:val="0D0D0D" w:themeColor="text1" w:themeTint="F2"/>
              </w:rPr>
              <w:t>Strive</w:t>
            </w:r>
            <w:r w:rsidR="11797A08" w:rsidRPr="59801B34">
              <w:rPr>
                <w:rFonts w:eastAsia="Arial" w:cs="Arial"/>
                <w:color w:val="0D0D0D" w:themeColor="text1" w:themeTint="F2"/>
              </w:rPr>
              <w:t xml:space="preserve"> and </w:t>
            </w:r>
            <w:r w:rsidR="11797A08" w:rsidRPr="59801B34">
              <w:rPr>
                <w:rFonts w:eastAsia="Arial" w:cs="Arial"/>
                <w:i/>
                <w:iCs/>
                <w:color w:val="0D0D0D" w:themeColor="text1" w:themeTint="F2"/>
              </w:rPr>
              <w:t>Independence</w:t>
            </w:r>
            <w:r w:rsidR="11797A08" w:rsidRPr="59801B34">
              <w:rPr>
                <w:rFonts w:eastAsia="Arial" w:cs="Arial"/>
                <w:color w:val="0D0D0D" w:themeColor="text1" w:themeTint="F2"/>
              </w:rPr>
              <w:t xml:space="preserve"> are capitalised upon with the Year 11 study programme and the KS3 Bistro time in form for standards</w:t>
            </w:r>
            <w:r w:rsidRPr="59801B34">
              <w:rPr>
                <w:rFonts w:eastAsia="Arial" w:cs="Arial"/>
                <w:color w:val="0D0D0D" w:themeColor="text1" w:themeTint="F2"/>
              </w:rPr>
              <w:t>.</w:t>
            </w:r>
          </w:p>
          <w:p w14:paraId="59290512" w14:textId="6D21EB4B" w:rsidR="0064167B" w:rsidRPr="002F4C6F" w:rsidRDefault="059A1803" w:rsidP="59801B34">
            <w:pPr>
              <w:spacing w:before="60" w:after="60"/>
              <w:ind w:left="57" w:right="57"/>
              <w:rPr>
                <w:rFonts w:eastAsia="Arial" w:cs="Arial"/>
                <w:color w:val="0D0D0D" w:themeColor="text1" w:themeTint="F2"/>
              </w:rPr>
            </w:pPr>
            <w:r w:rsidRPr="59801B34">
              <w:rPr>
                <w:rFonts w:eastAsia="Arial" w:cs="Arial"/>
                <w:color w:val="0D0D0D" w:themeColor="text1" w:themeTint="F2"/>
              </w:rPr>
              <w:t xml:space="preserve">Review of the provision the Aspirations Centre support, </w:t>
            </w:r>
            <w:r w:rsidR="7EA6C9AF" w:rsidRPr="59801B34">
              <w:rPr>
                <w:rFonts w:eastAsia="Arial" w:cs="Arial"/>
                <w:color w:val="0D0D0D" w:themeColor="text1" w:themeTint="F2"/>
              </w:rPr>
              <w:t>took place, with intervention tracking.  60% of students referred to the AC showed improvements in their mental wellbeing, whereas only 20% of students referred for internal respites improved, so a new Well-being Officer role has bee</w:t>
            </w:r>
            <w:r w:rsidR="1B805331" w:rsidRPr="59801B34">
              <w:rPr>
                <w:rFonts w:eastAsia="Arial" w:cs="Arial"/>
                <w:color w:val="0D0D0D" w:themeColor="text1" w:themeTint="F2"/>
              </w:rPr>
              <w:t>n created to further the impact of the meaningful work the AC did.  To further support behaviour systems and attendance issues, the AC roles have been replaced as follows:</w:t>
            </w:r>
          </w:p>
          <w:p w14:paraId="7952F2AC" w14:textId="24DBBBB9" w:rsidR="0064167B" w:rsidRPr="002F4C6F" w:rsidRDefault="1B805331" w:rsidP="59801B34">
            <w:pPr>
              <w:spacing w:before="60" w:after="60"/>
              <w:ind w:left="57" w:right="57"/>
              <w:rPr>
                <w:rFonts w:eastAsia="Arial" w:cs="Arial"/>
                <w:color w:val="0D0D0D" w:themeColor="text1" w:themeTint="F2"/>
              </w:rPr>
            </w:pPr>
            <w:r w:rsidRPr="59801B34">
              <w:rPr>
                <w:rFonts w:eastAsia="Arial" w:cs="Arial"/>
                <w:color w:val="0D0D0D" w:themeColor="text1" w:themeTint="F2"/>
              </w:rPr>
              <w:t>Triage Officer</w:t>
            </w:r>
          </w:p>
          <w:p w14:paraId="6B4D9DC0" w14:textId="049BBE90" w:rsidR="0064167B" w:rsidRPr="002F4C6F" w:rsidRDefault="1B805331" w:rsidP="59801B34">
            <w:pPr>
              <w:spacing w:before="60" w:after="60"/>
              <w:ind w:left="57" w:right="57"/>
              <w:rPr>
                <w:rFonts w:eastAsia="Arial" w:cs="Arial"/>
                <w:color w:val="0D0D0D" w:themeColor="text1" w:themeTint="F2"/>
              </w:rPr>
            </w:pPr>
            <w:r w:rsidRPr="59801B34">
              <w:rPr>
                <w:rFonts w:eastAsia="Arial" w:cs="Arial"/>
                <w:color w:val="0D0D0D" w:themeColor="text1" w:themeTint="F2"/>
              </w:rPr>
              <w:t>Internal Exclusion Officer</w:t>
            </w:r>
          </w:p>
          <w:p w14:paraId="0BF9652B" w14:textId="5D907EB8" w:rsidR="0064167B" w:rsidRPr="002F4C6F" w:rsidRDefault="1B805331" w:rsidP="59801B34">
            <w:pPr>
              <w:spacing w:before="60" w:after="60"/>
              <w:ind w:left="57" w:right="57"/>
              <w:rPr>
                <w:rFonts w:eastAsia="Arial" w:cs="Arial"/>
                <w:color w:val="0D0D0D" w:themeColor="text1" w:themeTint="F2"/>
              </w:rPr>
            </w:pPr>
            <w:r w:rsidRPr="59801B34">
              <w:rPr>
                <w:rFonts w:eastAsia="Arial" w:cs="Arial"/>
                <w:color w:val="0D0D0D" w:themeColor="text1" w:themeTint="F2"/>
              </w:rPr>
              <w:t>Wellbeing Officer</w:t>
            </w:r>
          </w:p>
          <w:p w14:paraId="1D2F7116" w14:textId="7CAE72AF" w:rsidR="0064167B" w:rsidRPr="002F4C6F" w:rsidRDefault="1B805331" w:rsidP="59801B34">
            <w:pPr>
              <w:spacing w:before="60" w:after="60"/>
              <w:ind w:left="57" w:right="57"/>
              <w:rPr>
                <w:rFonts w:eastAsia="Arial" w:cs="Arial"/>
                <w:color w:val="0D0D0D" w:themeColor="text1" w:themeTint="F2"/>
              </w:rPr>
            </w:pPr>
            <w:r w:rsidRPr="59801B34">
              <w:rPr>
                <w:rFonts w:eastAsia="Arial" w:cs="Arial"/>
                <w:color w:val="0D0D0D" w:themeColor="text1" w:themeTint="F2"/>
              </w:rPr>
              <w:t>EBSA Officer</w:t>
            </w:r>
          </w:p>
          <w:p w14:paraId="1DC7D1B8" w14:textId="2EE227EC" w:rsidR="0064167B" w:rsidRPr="002F4C6F" w:rsidRDefault="059A1803" w:rsidP="59801B34">
            <w:pPr>
              <w:spacing w:before="60"/>
              <w:rPr>
                <w:rFonts w:eastAsia="Arial" w:cs="Arial"/>
                <w:b/>
                <w:bCs/>
                <w:color w:val="0D0D0D" w:themeColor="text1" w:themeTint="F2"/>
              </w:rPr>
            </w:pPr>
            <w:r w:rsidRPr="59801B34">
              <w:rPr>
                <w:rFonts w:eastAsia="Arial" w:cs="Arial"/>
                <w:b/>
                <w:bCs/>
                <w:color w:val="0D0D0D" w:themeColor="text1" w:themeTint="F2"/>
              </w:rPr>
              <w:t>Free Breakfast Club for all PP students</w:t>
            </w:r>
            <w:r w:rsidR="76B3995D" w:rsidRPr="59801B34">
              <w:rPr>
                <w:rFonts w:eastAsia="Arial" w:cs="Arial"/>
                <w:b/>
                <w:bCs/>
                <w:color w:val="0D0D0D" w:themeColor="text1" w:themeTint="F2"/>
              </w:rPr>
              <w:t xml:space="preserve"> continues to be funded</w:t>
            </w:r>
            <w:r w:rsidRPr="59801B34">
              <w:rPr>
                <w:rFonts w:eastAsia="Arial" w:cs="Arial"/>
                <w:b/>
                <w:bCs/>
                <w:color w:val="0D0D0D" w:themeColor="text1" w:themeTint="F2"/>
              </w:rPr>
              <w:t>.</w:t>
            </w:r>
          </w:p>
          <w:p w14:paraId="3A112D92" w14:textId="4DD15191" w:rsidR="0064167B" w:rsidRPr="002F4C6F" w:rsidRDefault="7E385CFF" w:rsidP="59801B34">
            <w:pPr>
              <w:spacing w:before="60" w:after="60"/>
              <w:ind w:right="57"/>
            </w:pPr>
            <w:r w:rsidRPr="59801B34">
              <w:rPr>
                <w:rFonts w:eastAsia="Arial" w:cs="Arial"/>
                <w:b/>
                <w:bCs/>
                <w:color w:val="0D0D0D" w:themeColor="text1" w:themeTint="F2"/>
              </w:rPr>
              <w:t>Parental Engagement</w:t>
            </w:r>
          </w:p>
          <w:p w14:paraId="3F5395AC" w14:textId="74576104" w:rsidR="0064167B" w:rsidRPr="002F4C6F" w:rsidRDefault="274D4675" w:rsidP="59801B34">
            <w:pPr>
              <w:spacing w:before="60"/>
              <w:rPr>
                <w:rFonts w:eastAsia="Arial" w:cs="Arial"/>
                <w:color w:val="0D0D0D" w:themeColor="text1" w:themeTint="F2"/>
              </w:rPr>
            </w:pPr>
            <w:r w:rsidRPr="59801B34">
              <w:rPr>
                <w:rFonts w:eastAsia="Arial" w:cs="Arial"/>
                <w:color w:val="0D0D0D" w:themeColor="text1" w:themeTint="F2"/>
              </w:rPr>
              <w:lastRenderedPageBreak/>
              <w:t>Following work with parents around inclusion (via the Diversity panel in June 2023) and surveying with ‘you said, we did’ feedback, t</w:t>
            </w:r>
            <w:r w:rsidR="29DDEC3F" w:rsidRPr="59801B34">
              <w:rPr>
                <w:rFonts w:eastAsia="Arial" w:cs="Arial"/>
                <w:color w:val="0D0D0D" w:themeColor="text1" w:themeTint="F2"/>
              </w:rPr>
              <w:t xml:space="preserve">he school is now applying for an award in this Leading Parent Partnership and so an additional action plan will be </w:t>
            </w:r>
            <w:r w:rsidR="513DC651" w:rsidRPr="59801B34">
              <w:rPr>
                <w:rFonts w:eastAsia="Arial" w:cs="Arial"/>
                <w:color w:val="0D0D0D" w:themeColor="text1" w:themeTint="F2"/>
              </w:rPr>
              <w:t>devised to sit alongside the PP strategy.  The award will focus on areas of development such as engaging hard-to-reach parents.</w:t>
            </w:r>
          </w:p>
          <w:p w14:paraId="2152604D" w14:textId="72F6027F" w:rsidR="0064167B" w:rsidRPr="002F4C6F" w:rsidRDefault="7E385CFF" w:rsidP="59801B34">
            <w:pPr>
              <w:spacing w:before="60"/>
              <w:rPr>
                <w:rFonts w:eastAsia="Arial" w:cs="Arial"/>
                <w:color w:val="0D0D0D" w:themeColor="text1" w:themeTint="F2"/>
              </w:rPr>
            </w:pPr>
            <w:r w:rsidRPr="59801B34">
              <w:rPr>
                <w:rFonts w:eastAsia="Arial" w:cs="Arial"/>
                <w:b/>
                <w:bCs/>
                <w:color w:val="000000" w:themeColor="text1"/>
              </w:rPr>
              <w:t>CEIAG &amp; Student Aspirations</w:t>
            </w:r>
          </w:p>
          <w:p w14:paraId="5023926C" w14:textId="7BDF451F" w:rsidR="0064167B" w:rsidRPr="002F4C6F" w:rsidRDefault="4BBF2779" w:rsidP="59801B34">
            <w:pPr>
              <w:spacing w:before="60"/>
              <w:rPr>
                <w:rFonts w:eastAsia="Arial" w:cs="Arial"/>
                <w:color w:val="000000" w:themeColor="text1"/>
              </w:rPr>
            </w:pPr>
            <w:r w:rsidRPr="59801B34">
              <w:rPr>
                <w:rFonts w:eastAsia="Arial" w:cs="Arial"/>
                <w:color w:val="000000" w:themeColor="text1"/>
              </w:rPr>
              <w:t>(</w:t>
            </w:r>
            <w:r w:rsidRPr="59801B34">
              <w:rPr>
                <w:rFonts w:eastAsia="Arial" w:cs="Arial"/>
                <w:color w:val="000000" w:themeColor="text1"/>
                <w:highlight w:val="yellow"/>
              </w:rPr>
              <w:t>NEET figures</w:t>
            </w:r>
            <w:r w:rsidR="7B57CE29" w:rsidRPr="59801B34">
              <w:rPr>
                <w:rFonts w:eastAsia="Arial" w:cs="Arial"/>
                <w:color w:val="000000" w:themeColor="text1"/>
                <w:highlight w:val="yellow"/>
              </w:rPr>
              <w:t xml:space="preserve"> 2024</w:t>
            </w:r>
            <w:r w:rsidRPr="59801B34">
              <w:rPr>
                <w:rFonts w:eastAsia="Arial" w:cs="Arial"/>
                <w:color w:val="000000" w:themeColor="text1"/>
                <w:highlight w:val="yellow"/>
              </w:rPr>
              <w:t xml:space="preserve"> </w:t>
            </w:r>
            <w:r w:rsidR="11D7CF6C" w:rsidRPr="59801B34">
              <w:rPr>
                <w:rFonts w:eastAsia="Arial" w:cs="Arial"/>
                <w:color w:val="000000" w:themeColor="text1"/>
                <w:highlight w:val="yellow"/>
              </w:rPr>
              <w:t xml:space="preserve">to be </w:t>
            </w:r>
            <w:r w:rsidR="53DC67E1" w:rsidRPr="59801B34">
              <w:rPr>
                <w:rFonts w:eastAsia="Arial" w:cs="Arial"/>
                <w:color w:val="000000" w:themeColor="text1"/>
                <w:highlight w:val="yellow"/>
              </w:rPr>
              <w:t xml:space="preserve">added </w:t>
            </w:r>
            <w:r w:rsidRPr="59801B34">
              <w:rPr>
                <w:rFonts w:eastAsia="Arial" w:cs="Arial"/>
                <w:color w:val="000000" w:themeColor="text1"/>
                <w:highlight w:val="yellow"/>
              </w:rPr>
              <w:t>here</w:t>
            </w:r>
            <w:r w:rsidRPr="59801B34">
              <w:rPr>
                <w:rFonts w:eastAsia="Arial" w:cs="Arial"/>
                <w:color w:val="000000" w:themeColor="text1"/>
              </w:rPr>
              <w:t xml:space="preserve">) </w:t>
            </w:r>
            <w:r w:rsidR="215AE4FF" w:rsidRPr="59801B34">
              <w:rPr>
                <w:rFonts w:eastAsia="Arial" w:cs="Arial"/>
                <w:color w:val="000000" w:themeColor="text1"/>
              </w:rPr>
              <w:t>The school continues to put health first; encouraging walking to school, h</w:t>
            </w:r>
            <w:r w:rsidR="7E385CFF" w:rsidRPr="59801B34">
              <w:rPr>
                <w:rFonts w:eastAsia="Arial" w:cs="Arial"/>
                <w:color w:val="000000" w:themeColor="text1"/>
              </w:rPr>
              <w:t>ealthy options in the bistro, and opportunities for physical (Race for Life) and mental (kindness initiatives, mindfulness) health.  College tours are to be brought forward in 2023-24 to engage students at a younger age (Year 9)</w:t>
            </w:r>
            <w:r w:rsidR="64137B51" w:rsidRPr="59801B34">
              <w:rPr>
                <w:rFonts w:eastAsia="Arial" w:cs="Arial"/>
                <w:color w:val="000000" w:themeColor="text1"/>
              </w:rPr>
              <w:t xml:space="preserve"> and all students follow the process of applying to college and producing a CV and personal statement by the end of the first term of Year 11</w:t>
            </w:r>
            <w:r w:rsidR="7E385CFF" w:rsidRPr="59801B34">
              <w:rPr>
                <w:rFonts w:eastAsia="Arial" w:cs="Arial"/>
                <w:color w:val="000000" w:themeColor="text1"/>
              </w:rPr>
              <w:t>.</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23BA41CE" w:rsidR="00E66558" w:rsidRDefault="333BD980" w:rsidP="00F54FCB">
            <w:pPr>
              <w:pStyle w:val="TableRow"/>
              <w:ind w:left="0" w:right="0"/>
            </w:pPr>
            <w:r>
              <w:t>Leading Parent Partnership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3CCE712" w:rsidR="00E66558" w:rsidRDefault="333BD980" w:rsidP="00F54FCB">
            <w:pPr>
              <w:pStyle w:val="TableRowCentered"/>
              <w:ind w:left="0" w:right="0"/>
              <w:jc w:val="left"/>
            </w:pPr>
            <w:r>
              <w:t>Optimus</w:t>
            </w:r>
          </w:p>
        </w:tc>
      </w:tr>
      <w:tr w:rsidR="00E66558" w14:paraId="2A7D5552" w14:textId="77777777" w:rsidTr="59801B3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5"/>
      <w:bookmarkEnd w:id="16"/>
      <w:bookmarkEnd w:id="17"/>
    </w:tbl>
    <w:p w14:paraId="2A7D5564" w14:textId="77777777" w:rsidR="00E66558" w:rsidRDefault="00E66558"/>
    <w:sectPr w:rsidR="00E66558">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w:altName w:val="Cambria"/>
    <w:panose1 w:val="00000000000000000000"/>
    <w:charset w:val="00"/>
    <w:family w:val="roman"/>
    <w:notTrueType/>
    <w:pitch w:val="default"/>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43BB"/>
    <w:multiLevelType w:val="hybridMultilevel"/>
    <w:tmpl w:val="FEDA982E"/>
    <w:lvl w:ilvl="0" w:tplc="96782756">
      <w:start w:val="1"/>
      <w:numFmt w:val="bullet"/>
      <w:lvlText w:val="·"/>
      <w:lvlJc w:val="left"/>
      <w:pPr>
        <w:ind w:left="720" w:hanging="360"/>
      </w:pPr>
      <w:rPr>
        <w:rFonts w:ascii="Symbol" w:hAnsi="Symbol" w:hint="default"/>
      </w:rPr>
    </w:lvl>
    <w:lvl w:ilvl="1" w:tplc="5B8225EE">
      <w:start w:val="1"/>
      <w:numFmt w:val="bullet"/>
      <w:lvlText w:val="o"/>
      <w:lvlJc w:val="left"/>
      <w:pPr>
        <w:ind w:left="1440" w:hanging="360"/>
      </w:pPr>
      <w:rPr>
        <w:rFonts w:ascii="Courier New" w:hAnsi="Courier New" w:hint="default"/>
      </w:rPr>
    </w:lvl>
    <w:lvl w:ilvl="2" w:tplc="9E5CC0E6">
      <w:start w:val="1"/>
      <w:numFmt w:val="bullet"/>
      <w:lvlText w:val=""/>
      <w:lvlJc w:val="left"/>
      <w:pPr>
        <w:ind w:left="2160" w:hanging="360"/>
      </w:pPr>
      <w:rPr>
        <w:rFonts w:ascii="Wingdings" w:hAnsi="Wingdings" w:hint="default"/>
      </w:rPr>
    </w:lvl>
    <w:lvl w:ilvl="3" w:tplc="BC28DF0A">
      <w:start w:val="1"/>
      <w:numFmt w:val="bullet"/>
      <w:lvlText w:val=""/>
      <w:lvlJc w:val="left"/>
      <w:pPr>
        <w:ind w:left="2880" w:hanging="360"/>
      </w:pPr>
      <w:rPr>
        <w:rFonts w:ascii="Symbol" w:hAnsi="Symbol" w:hint="default"/>
      </w:rPr>
    </w:lvl>
    <w:lvl w:ilvl="4" w:tplc="2710F34A">
      <w:start w:val="1"/>
      <w:numFmt w:val="bullet"/>
      <w:lvlText w:val="o"/>
      <w:lvlJc w:val="left"/>
      <w:pPr>
        <w:ind w:left="3600" w:hanging="360"/>
      </w:pPr>
      <w:rPr>
        <w:rFonts w:ascii="Courier New" w:hAnsi="Courier New" w:hint="default"/>
      </w:rPr>
    </w:lvl>
    <w:lvl w:ilvl="5" w:tplc="0F6CE658">
      <w:start w:val="1"/>
      <w:numFmt w:val="bullet"/>
      <w:lvlText w:val=""/>
      <w:lvlJc w:val="left"/>
      <w:pPr>
        <w:ind w:left="4320" w:hanging="360"/>
      </w:pPr>
      <w:rPr>
        <w:rFonts w:ascii="Wingdings" w:hAnsi="Wingdings" w:hint="default"/>
      </w:rPr>
    </w:lvl>
    <w:lvl w:ilvl="6" w:tplc="4FEC60B0">
      <w:start w:val="1"/>
      <w:numFmt w:val="bullet"/>
      <w:lvlText w:val=""/>
      <w:lvlJc w:val="left"/>
      <w:pPr>
        <w:ind w:left="5040" w:hanging="360"/>
      </w:pPr>
      <w:rPr>
        <w:rFonts w:ascii="Symbol" w:hAnsi="Symbol" w:hint="default"/>
      </w:rPr>
    </w:lvl>
    <w:lvl w:ilvl="7" w:tplc="A65CAA24">
      <w:start w:val="1"/>
      <w:numFmt w:val="bullet"/>
      <w:lvlText w:val="o"/>
      <w:lvlJc w:val="left"/>
      <w:pPr>
        <w:ind w:left="5760" w:hanging="360"/>
      </w:pPr>
      <w:rPr>
        <w:rFonts w:ascii="Courier New" w:hAnsi="Courier New" w:hint="default"/>
      </w:rPr>
    </w:lvl>
    <w:lvl w:ilvl="8" w:tplc="A02C48B6">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D1BC9D"/>
    <w:multiLevelType w:val="hybridMultilevel"/>
    <w:tmpl w:val="0BBEFE36"/>
    <w:lvl w:ilvl="0" w:tplc="1E3E7F12">
      <w:start w:val="1"/>
      <w:numFmt w:val="bullet"/>
      <w:lvlText w:val="ü"/>
      <w:lvlJc w:val="left"/>
      <w:pPr>
        <w:ind w:left="720" w:hanging="360"/>
      </w:pPr>
      <w:rPr>
        <w:rFonts w:ascii="Wingdings" w:hAnsi="Wingdings" w:hint="default"/>
      </w:rPr>
    </w:lvl>
    <w:lvl w:ilvl="1" w:tplc="5D62DF62">
      <w:start w:val="1"/>
      <w:numFmt w:val="bullet"/>
      <w:lvlText w:val="o"/>
      <w:lvlJc w:val="left"/>
      <w:pPr>
        <w:ind w:left="1440" w:hanging="360"/>
      </w:pPr>
      <w:rPr>
        <w:rFonts w:ascii="Courier New" w:hAnsi="Courier New" w:hint="default"/>
      </w:rPr>
    </w:lvl>
    <w:lvl w:ilvl="2" w:tplc="5FE6575E">
      <w:start w:val="1"/>
      <w:numFmt w:val="bullet"/>
      <w:lvlText w:val=""/>
      <w:lvlJc w:val="left"/>
      <w:pPr>
        <w:ind w:left="2160" w:hanging="360"/>
      </w:pPr>
      <w:rPr>
        <w:rFonts w:ascii="Wingdings" w:hAnsi="Wingdings" w:hint="default"/>
      </w:rPr>
    </w:lvl>
    <w:lvl w:ilvl="3" w:tplc="3C2238E0">
      <w:start w:val="1"/>
      <w:numFmt w:val="bullet"/>
      <w:lvlText w:val=""/>
      <w:lvlJc w:val="left"/>
      <w:pPr>
        <w:ind w:left="2880" w:hanging="360"/>
      </w:pPr>
      <w:rPr>
        <w:rFonts w:ascii="Symbol" w:hAnsi="Symbol" w:hint="default"/>
      </w:rPr>
    </w:lvl>
    <w:lvl w:ilvl="4" w:tplc="4E9A0202">
      <w:start w:val="1"/>
      <w:numFmt w:val="bullet"/>
      <w:lvlText w:val="o"/>
      <w:lvlJc w:val="left"/>
      <w:pPr>
        <w:ind w:left="3600" w:hanging="360"/>
      </w:pPr>
      <w:rPr>
        <w:rFonts w:ascii="Courier New" w:hAnsi="Courier New" w:hint="default"/>
      </w:rPr>
    </w:lvl>
    <w:lvl w:ilvl="5" w:tplc="695A1976">
      <w:start w:val="1"/>
      <w:numFmt w:val="bullet"/>
      <w:lvlText w:val=""/>
      <w:lvlJc w:val="left"/>
      <w:pPr>
        <w:ind w:left="4320" w:hanging="360"/>
      </w:pPr>
      <w:rPr>
        <w:rFonts w:ascii="Wingdings" w:hAnsi="Wingdings" w:hint="default"/>
      </w:rPr>
    </w:lvl>
    <w:lvl w:ilvl="6" w:tplc="385ECBA2">
      <w:start w:val="1"/>
      <w:numFmt w:val="bullet"/>
      <w:lvlText w:val=""/>
      <w:lvlJc w:val="left"/>
      <w:pPr>
        <w:ind w:left="5040" w:hanging="360"/>
      </w:pPr>
      <w:rPr>
        <w:rFonts w:ascii="Symbol" w:hAnsi="Symbol" w:hint="default"/>
      </w:rPr>
    </w:lvl>
    <w:lvl w:ilvl="7" w:tplc="A6908E24">
      <w:start w:val="1"/>
      <w:numFmt w:val="bullet"/>
      <w:lvlText w:val="o"/>
      <w:lvlJc w:val="left"/>
      <w:pPr>
        <w:ind w:left="5760" w:hanging="360"/>
      </w:pPr>
      <w:rPr>
        <w:rFonts w:ascii="Courier New" w:hAnsi="Courier New" w:hint="default"/>
      </w:rPr>
    </w:lvl>
    <w:lvl w:ilvl="8" w:tplc="A1EEA4C0">
      <w:start w:val="1"/>
      <w:numFmt w:val="bullet"/>
      <w:lvlText w:val=""/>
      <w:lvlJc w:val="left"/>
      <w:pPr>
        <w:ind w:left="6480" w:hanging="360"/>
      </w:pPr>
      <w:rPr>
        <w:rFonts w:ascii="Wingdings" w:hAnsi="Wingdings" w:hint="default"/>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721765"/>
    <w:multiLevelType w:val="hybridMultilevel"/>
    <w:tmpl w:val="10FCE2C8"/>
    <w:lvl w:ilvl="0" w:tplc="AC7CC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D4EB62"/>
    <w:multiLevelType w:val="hybridMultilevel"/>
    <w:tmpl w:val="80363FA0"/>
    <w:lvl w:ilvl="0" w:tplc="68B4484A">
      <w:start w:val="1"/>
      <w:numFmt w:val="bullet"/>
      <w:lvlText w:val=""/>
      <w:lvlJc w:val="left"/>
      <w:pPr>
        <w:ind w:left="720" w:hanging="360"/>
      </w:pPr>
      <w:rPr>
        <w:rFonts w:ascii="Symbol" w:hAnsi="Symbol" w:hint="default"/>
      </w:rPr>
    </w:lvl>
    <w:lvl w:ilvl="1" w:tplc="CF8A8704">
      <w:start w:val="1"/>
      <w:numFmt w:val="bullet"/>
      <w:lvlText w:val="o"/>
      <w:lvlJc w:val="left"/>
      <w:pPr>
        <w:ind w:left="1440" w:hanging="360"/>
      </w:pPr>
      <w:rPr>
        <w:rFonts w:ascii="Courier New" w:hAnsi="Courier New" w:hint="default"/>
      </w:rPr>
    </w:lvl>
    <w:lvl w:ilvl="2" w:tplc="41165038">
      <w:start w:val="1"/>
      <w:numFmt w:val="bullet"/>
      <w:lvlText w:val=""/>
      <w:lvlJc w:val="left"/>
      <w:pPr>
        <w:ind w:left="2160" w:hanging="360"/>
      </w:pPr>
      <w:rPr>
        <w:rFonts w:ascii="Wingdings" w:hAnsi="Wingdings" w:hint="default"/>
      </w:rPr>
    </w:lvl>
    <w:lvl w:ilvl="3" w:tplc="D444C9D0">
      <w:start w:val="1"/>
      <w:numFmt w:val="bullet"/>
      <w:lvlText w:val=""/>
      <w:lvlJc w:val="left"/>
      <w:pPr>
        <w:ind w:left="2880" w:hanging="360"/>
      </w:pPr>
      <w:rPr>
        <w:rFonts w:ascii="Symbol" w:hAnsi="Symbol" w:hint="default"/>
      </w:rPr>
    </w:lvl>
    <w:lvl w:ilvl="4" w:tplc="B1467218">
      <w:start w:val="1"/>
      <w:numFmt w:val="bullet"/>
      <w:lvlText w:val="o"/>
      <w:lvlJc w:val="left"/>
      <w:pPr>
        <w:ind w:left="3600" w:hanging="360"/>
      </w:pPr>
      <w:rPr>
        <w:rFonts w:ascii="Courier New" w:hAnsi="Courier New" w:hint="default"/>
      </w:rPr>
    </w:lvl>
    <w:lvl w:ilvl="5" w:tplc="9CC4AE5C">
      <w:start w:val="1"/>
      <w:numFmt w:val="bullet"/>
      <w:lvlText w:val=""/>
      <w:lvlJc w:val="left"/>
      <w:pPr>
        <w:ind w:left="4320" w:hanging="360"/>
      </w:pPr>
      <w:rPr>
        <w:rFonts w:ascii="Wingdings" w:hAnsi="Wingdings" w:hint="default"/>
      </w:rPr>
    </w:lvl>
    <w:lvl w:ilvl="6" w:tplc="6F2C6F84">
      <w:start w:val="1"/>
      <w:numFmt w:val="bullet"/>
      <w:lvlText w:val=""/>
      <w:lvlJc w:val="left"/>
      <w:pPr>
        <w:ind w:left="5040" w:hanging="360"/>
      </w:pPr>
      <w:rPr>
        <w:rFonts w:ascii="Symbol" w:hAnsi="Symbol" w:hint="default"/>
      </w:rPr>
    </w:lvl>
    <w:lvl w:ilvl="7" w:tplc="88FC9852">
      <w:start w:val="1"/>
      <w:numFmt w:val="bullet"/>
      <w:lvlText w:val="o"/>
      <w:lvlJc w:val="left"/>
      <w:pPr>
        <w:ind w:left="5760" w:hanging="360"/>
      </w:pPr>
      <w:rPr>
        <w:rFonts w:ascii="Courier New" w:hAnsi="Courier New" w:hint="default"/>
      </w:rPr>
    </w:lvl>
    <w:lvl w:ilvl="8" w:tplc="F014C214">
      <w:start w:val="1"/>
      <w:numFmt w:val="bullet"/>
      <w:lvlText w:val=""/>
      <w:lvlJc w:val="left"/>
      <w:pPr>
        <w:ind w:left="6480" w:hanging="360"/>
      </w:pPr>
      <w:rPr>
        <w:rFonts w:ascii="Wingdings" w:hAnsi="Wingdings" w:hint="default"/>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EED768A"/>
    <w:multiLevelType w:val="hybridMultilevel"/>
    <w:tmpl w:val="1F72CEA6"/>
    <w:lvl w:ilvl="0" w:tplc="6E646172">
      <w:start w:val="1"/>
      <w:numFmt w:val="decimal"/>
      <w:lvlText w:val="%1."/>
      <w:lvlJc w:val="left"/>
      <w:pPr>
        <w:ind w:left="720" w:hanging="360"/>
      </w:pPr>
    </w:lvl>
    <w:lvl w:ilvl="1" w:tplc="B62C274E">
      <w:start w:val="1"/>
      <w:numFmt w:val="lowerLetter"/>
      <w:lvlText w:val="%2."/>
      <w:lvlJc w:val="left"/>
      <w:pPr>
        <w:ind w:left="1440" w:hanging="360"/>
      </w:pPr>
    </w:lvl>
    <w:lvl w:ilvl="2" w:tplc="464C37FC">
      <w:start w:val="1"/>
      <w:numFmt w:val="lowerRoman"/>
      <w:lvlText w:val="%3."/>
      <w:lvlJc w:val="right"/>
      <w:pPr>
        <w:ind w:left="2160" w:hanging="180"/>
      </w:pPr>
    </w:lvl>
    <w:lvl w:ilvl="3" w:tplc="0D049344">
      <w:start w:val="1"/>
      <w:numFmt w:val="decimal"/>
      <w:lvlText w:val="%4."/>
      <w:lvlJc w:val="left"/>
      <w:pPr>
        <w:ind w:left="2880" w:hanging="360"/>
      </w:pPr>
    </w:lvl>
    <w:lvl w:ilvl="4" w:tplc="FD2A008E">
      <w:start w:val="1"/>
      <w:numFmt w:val="lowerLetter"/>
      <w:lvlText w:val="%5."/>
      <w:lvlJc w:val="left"/>
      <w:pPr>
        <w:ind w:left="3600" w:hanging="360"/>
      </w:pPr>
    </w:lvl>
    <w:lvl w:ilvl="5" w:tplc="ADAC10F2">
      <w:start w:val="1"/>
      <w:numFmt w:val="lowerRoman"/>
      <w:lvlText w:val="%6."/>
      <w:lvlJc w:val="right"/>
      <w:pPr>
        <w:ind w:left="4320" w:hanging="180"/>
      </w:pPr>
    </w:lvl>
    <w:lvl w:ilvl="6" w:tplc="5A748884">
      <w:start w:val="1"/>
      <w:numFmt w:val="decimal"/>
      <w:lvlText w:val="%7."/>
      <w:lvlJc w:val="left"/>
      <w:pPr>
        <w:ind w:left="5040" w:hanging="360"/>
      </w:pPr>
    </w:lvl>
    <w:lvl w:ilvl="7" w:tplc="D6A64B08">
      <w:start w:val="1"/>
      <w:numFmt w:val="lowerLetter"/>
      <w:lvlText w:val="%8."/>
      <w:lvlJc w:val="left"/>
      <w:pPr>
        <w:ind w:left="5760" w:hanging="360"/>
      </w:pPr>
    </w:lvl>
    <w:lvl w:ilvl="8" w:tplc="C6AC6066">
      <w:start w:val="1"/>
      <w:numFmt w:val="lowerRoman"/>
      <w:lvlText w:val="%9."/>
      <w:lvlJc w:val="right"/>
      <w:pPr>
        <w:ind w:left="6480" w:hanging="180"/>
      </w:p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E927FD0"/>
    <w:multiLevelType w:val="hybridMultilevel"/>
    <w:tmpl w:val="CD96A724"/>
    <w:lvl w:ilvl="0" w:tplc="81201B7E">
      <w:start w:val="1"/>
      <w:numFmt w:val="bullet"/>
      <w:lvlText w:val=""/>
      <w:lvlJc w:val="left"/>
      <w:pPr>
        <w:ind w:left="720" w:hanging="360"/>
      </w:pPr>
      <w:rPr>
        <w:rFonts w:ascii="Symbol" w:hAnsi="Symbol" w:hint="default"/>
      </w:rPr>
    </w:lvl>
    <w:lvl w:ilvl="1" w:tplc="0C2C7570">
      <w:start w:val="1"/>
      <w:numFmt w:val="bullet"/>
      <w:lvlText w:val="o"/>
      <w:lvlJc w:val="left"/>
      <w:pPr>
        <w:ind w:left="1440" w:hanging="360"/>
      </w:pPr>
      <w:rPr>
        <w:rFonts w:ascii="Courier New" w:hAnsi="Courier New" w:hint="default"/>
      </w:rPr>
    </w:lvl>
    <w:lvl w:ilvl="2" w:tplc="B0F89F56">
      <w:start w:val="1"/>
      <w:numFmt w:val="bullet"/>
      <w:lvlText w:val=""/>
      <w:lvlJc w:val="left"/>
      <w:pPr>
        <w:ind w:left="2160" w:hanging="360"/>
      </w:pPr>
      <w:rPr>
        <w:rFonts w:ascii="Wingdings" w:hAnsi="Wingdings" w:hint="default"/>
      </w:rPr>
    </w:lvl>
    <w:lvl w:ilvl="3" w:tplc="2E32B24C">
      <w:start w:val="1"/>
      <w:numFmt w:val="bullet"/>
      <w:lvlText w:val=""/>
      <w:lvlJc w:val="left"/>
      <w:pPr>
        <w:ind w:left="2880" w:hanging="360"/>
      </w:pPr>
      <w:rPr>
        <w:rFonts w:ascii="Symbol" w:hAnsi="Symbol" w:hint="default"/>
      </w:rPr>
    </w:lvl>
    <w:lvl w:ilvl="4" w:tplc="86084C42">
      <w:start w:val="1"/>
      <w:numFmt w:val="bullet"/>
      <w:lvlText w:val="o"/>
      <w:lvlJc w:val="left"/>
      <w:pPr>
        <w:ind w:left="3600" w:hanging="360"/>
      </w:pPr>
      <w:rPr>
        <w:rFonts w:ascii="Courier New" w:hAnsi="Courier New" w:hint="default"/>
      </w:rPr>
    </w:lvl>
    <w:lvl w:ilvl="5" w:tplc="CE4AA42C">
      <w:start w:val="1"/>
      <w:numFmt w:val="bullet"/>
      <w:lvlText w:val=""/>
      <w:lvlJc w:val="left"/>
      <w:pPr>
        <w:ind w:left="4320" w:hanging="360"/>
      </w:pPr>
      <w:rPr>
        <w:rFonts w:ascii="Wingdings" w:hAnsi="Wingdings" w:hint="default"/>
      </w:rPr>
    </w:lvl>
    <w:lvl w:ilvl="6" w:tplc="D304FDDC">
      <w:start w:val="1"/>
      <w:numFmt w:val="bullet"/>
      <w:lvlText w:val=""/>
      <w:lvlJc w:val="left"/>
      <w:pPr>
        <w:ind w:left="5040" w:hanging="360"/>
      </w:pPr>
      <w:rPr>
        <w:rFonts w:ascii="Symbol" w:hAnsi="Symbol" w:hint="default"/>
      </w:rPr>
    </w:lvl>
    <w:lvl w:ilvl="7" w:tplc="980A2342">
      <w:start w:val="1"/>
      <w:numFmt w:val="bullet"/>
      <w:lvlText w:val="o"/>
      <w:lvlJc w:val="left"/>
      <w:pPr>
        <w:ind w:left="5760" w:hanging="360"/>
      </w:pPr>
      <w:rPr>
        <w:rFonts w:ascii="Courier New" w:hAnsi="Courier New" w:hint="default"/>
      </w:rPr>
    </w:lvl>
    <w:lvl w:ilvl="8" w:tplc="F36CFC9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2"/>
  </w:num>
  <w:num w:numId="4">
    <w:abstractNumId w:val="18"/>
  </w:num>
  <w:num w:numId="5">
    <w:abstractNumId w:val="16"/>
  </w:num>
  <w:num w:numId="6">
    <w:abstractNumId w:val="7"/>
  </w:num>
  <w:num w:numId="7">
    <w:abstractNumId w:val="5"/>
  </w:num>
  <w:num w:numId="8">
    <w:abstractNumId w:val="8"/>
  </w:num>
  <w:num w:numId="9">
    <w:abstractNumId w:val="9"/>
  </w:num>
  <w:num w:numId="10">
    <w:abstractNumId w:val="1"/>
  </w:num>
  <w:num w:numId="11">
    <w:abstractNumId w:val="11"/>
  </w:num>
  <w:num w:numId="12">
    <w:abstractNumId w:val="15"/>
  </w:num>
  <w:num w:numId="13">
    <w:abstractNumId w:val="21"/>
  </w:num>
  <w:num w:numId="14">
    <w:abstractNumId w:val="19"/>
  </w:num>
  <w:num w:numId="15">
    <w:abstractNumId w:val="17"/>
  </w:num>
  <w:num w:numId="16">
    <w:abstractNumId w:val="6"/>
  </w:num>
  <w:num w:numId="17">
    <w:abstractNumId w:val="20"/>
  </w:num>
  <w:num w:numId="18">
    <w:abstractNumId w:val="14"/>
  </w:num>
  <w:num w:numId="19">
    <w:abstractNumId w:val="12"/>
  </w:num>
  <w:num w:numId="20">
    <w:abstractNumId w:val="4"/>
  </w:num>
  <w:num w:numId="21">
    <w:abstractNumId w:val="3"/>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467FA"/>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3B6"/>
    <w:rsid w:val="00257A4E"/>
    <w:rsid w:val="00266FA5"/>
    <w:rsid w:val="00276FBA"/>
    <w:rsid w:val="00277665"/>
    <w:rsid w:val="002837AE"/>
    <w:rsid w:val="00287FA8"/>
    <w:rsid w:val="002920F4"/>
    <w:rsid w:val="002940F3"/>
    <w:rsid w:val="00295842"/>
    <w:rsid w:val="002B017C"/>
    <w:rsid w:val="002B3574"/>
    <w:rsid w:val="002B6B74"/>
    <w:rsid w:val="002C6AE7"/>
    <w:rsid w:val="002D2D4B"/>
    <w:rsid w:val="002D3805"/>
    <w:rsid w:val="002E66AE"/>
    <w:rsid w:val="002E7763"/>
    <w:rsid w:val="002F3C2D"/>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66C9F"/>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37975"/>
    <w:rsid w:val="00637EC3"/>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843"/>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596"/>
    <w:rsid w:val="009C0914"/>
    <w:rsid w:val="009C27E5"/>
    <w:rsid w:val="009D24A1"/>
    <w:rsid w:val="009D3891"/>
    <w:rsid w:val="009D71E8"/>
    <w:rsid w:val="009E0CF5"/>
    <w:rsid w:val="009E104B"/>
    <w:rsid w:val="009E7DE4"/>
    <w:rsid w:val="009F3BBD"/>
    <w:rsid w:val="00A022AB"/>
    <w:rsid w:val="00A063DD"/>
    <w:rsid w:val="00A112B5"/>
    <w:rsid w:val="00A14EEA"/>
    <w:rsid w:val="00A32C05"/>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AA5BF"/>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1CFE9"/>
    <w:rsid w:val="00C23C11"/>
    <w:rsid w:val="00C2441E"/>
    <w:rsid w:val="00C25827"/>
    <w:rsid w:val="00C31636"/>
    <w:rsid w:val="00C31BB8"/>
    <w:rsid w:val="00C373EA"/>
    <w:rsid w:val="00C43CA3"/>
    <w:rsid w:val="00C43D9D"/>
    <w:rsid w:val="00C43EA4"/>
    <w:rsid w:val="00C43FA1"/>
    <w:rsid w:val="00C50040"/>
    <w:rsid w:val="00C52DFF"/>
    <w:rsid w:val="00C574E1"/>
    <w:rsid w:val="00C621C1"/>
    <w:rsid w:val="00C62989"/>
    <w:rsid w:val="00C65CBB"/>
    <w:rsid w:val="00C74684"/>
    <w:rsid w:val="00C77FEF"/>
    <w:rsid w:val="00C80F37"/>
    <w:rsid w:val="00C83659"/>
    <w:rsid w:val="00C839C1"/>
    <w:rsid w:val="00C902DD"/>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B242E"/>
    <w:rsid w:val="00DC641A"/>
    <w:rsid w:val="00DD21A1"/>
    <w:rsid w:val="00DD68FB"/>
    <w:rsid w:val="00DD6B7D"/>
    <w:rsid w:val="00DD6E14"/>
    <w:rsid w:val="00DE15AC"/>
    <w:rsid w:val="00DF2015"/>
    <w:rsid w:val="00E061EC"/>
    <w:rsid w:val="00E0696B"/>
    <w:rsid w:val="00E10E81"/>
    <w:rsid w:val="00E13E51"/>
    <w:rsid w:val="00E18E7A"/>
    <w:rsid w:val="00E21F56"/>
    <w:rsid w:val="00E3014F"/>
    <w:rsid w:val="00E4286E"/>
    <w:rsid w:val="00E43EAD"/>
    <w:rsid w:val="00E50B24"/>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E782E"/>
    <w:rsid w:val="00FF2000"/>
    <w:rsid w:val="00FF369D"/>
    <w:rsid w:val="00FF6CA3"/>
    <w:rsid w:val="00FF6FB0"/>
    <w:rsid w:val="00FF79A8"/>
    <w:rsid w:val="0116D13F"/>
    <w:rsid w:val="011E715F"/>
    <w:rsid w:val="0133D00C"/>
    <w:rsid w:val="013A92F2"/>
    <w:rsid w:val="013E856B"/>
    <w:rsid w:val="0152416C"/>
    <w:rsid w:val="0154E0D2"/>
    <w:rsid w:val="018B12D5"/>
    <w:rsid w:val="018FB850"/>
    <w:rsid w:val="01ADE975"/>
    <w:rsid w:val="01B70C3E"/>
    <w:rsid w:val="01CA12CC"/>
    <w:rsid w:val="01EEBA68"/>
    <w:rsid w:val="020879FE"/>
    <w:rsid w:val="02132902"/>
    <w:rsid w:val="027B065E"/>
    <w:rsid w:val="02B2ACE1"/>
    <w:rsid w:val="02D53507"/>
    <w:rsid w:val="0319C7E4"/>
    <w:rsid w:val="0348CAA4"/>
    <w:rsid w:val="035DB839"/>
    <w:rsid w:val="0373044A"/>
    <w:rsid w:val="03D195EF"/>
    <w:rsid w:val="03D1BF01"/>
    <w:rsid w:val="0420DF97"/>
    <w:rsid w:val="0439FD27"/>
    <w:rsid w:val="04413D0C"/>
    <w:rsid w:val="048372B3"/>
    <w:rsid w:val="048C4DDA"/>
    <w:rsid w:val="048D4373"/>
    <w:rsid w:val="04A09B60"/>
    <w:rsid w:val="04CD6B64"/>
    <w:rsid w:val="04F3C510"/>
    <w:rsid w:val="054A658F"/>
    <w:rsid w:val="0581B4E1"/>
    <w:rsid w:val="058A9EA1"/>
    <w:rsid w:val="0591882F"/>
    <w:rsid w:val="059A1803"/>
    <w:rsid w:val="05B6D577"/>
    <w:rsid w:val="05FAEB71"/>
    <w:rsid w:val="0601868F"/>
    <w:rsid w:val="0615673E"/>
    <w:rsid w:val="065928AB"/>
    <w:rsid w:val="0680B037"/>
    <w:rsid w:val="06822622"/>
    <w:rsid w:val="0691F3EE"/>
    <w:rsid w:val="069AA0E3"/>
    <w:rsid w:val="06B02589"/>
    <w:rsid w:val="06B62038"/>
    <w:rsid w:val="06FE0148"/>
    <w:rsid w:val="07458D67"/>
    <w:rsid w:val="0771F898"/>
    <w:rsid w:val="07D6D99C"/>
    <w:rsid w:val="07FFD3D3"/>
    <w:rsid w:val="081661E3"/>
    <w:rsid w:val="081EDBBF"/>
    <w:rsid w:val="082C4C7B"/>
    <w:rsid w:val="084779A6"/>
    <w:rsid w:val="0867DA94"/>
    <w:rsid w:val="0869A39F"/>
    <w:rsid w:val="087DBA50"/>
    <w:rsid w:val="08816E73"/>
    <w:rsid w:val="0882C307"/>
    <w:rsid w:val="08ABCBD9"/>
    <w:rsid w:val="08B25F32"/>
    <w:rsid w:val="08B86A5A"/>
    <w:rsid w:val="08C0A299"/>
    <w:rsid w:val="09028656"/>
    <w:rsid w:val="09101692"/>
    <w:rsid w:val="09B50B55"/>
    <w:rsid w:val="09E086D8"/>
    <w:rsid w:val="0A000D8D"/>
    <w:rsid w:val="0A48E5EE"/>
    <w:rsid w:val="0AF27A9A"/>
    <w:rsid w:val="0B240EAF"/>
    <w:rsid w:val="0B309F2F"/>
    <w:rsid w:val="0B3637DC"/>
    <w:rsid w:val="0B39F4EE"/>
    <w:rsid w:val="0BA49FB5"/>
    <w:rsid w:val="0BEC1490"/>
    <w:rsid w:val="0C00A0C7"/>
    <w:rsid w:val="0C0EB1AF"/>
    <w:rsid w:val="0C1430DE"/>
    <w:rsid w:val="0C25556B"/>
    <w:rsid w:val="0C2B580C"/>
    <w:rsid w:val="0C52C1BA"/>
    <w:rsid w:val="0C713137"/>
    <w:rsid w:val="0C81D0E8"/>
    <w:rsid w:val="0D1320FB"/>
    <w:rsid w:val="0D3B7AF0"/>
    <w:rsid w:val="0D58635D"/>
    <w:rsid w:val="0D6BA520"/>
    <w:rsid w:val="0DE17097"/>
    <w:rsid w:val="0E02BB45"/>
    <w:rsid w:val="0E11B6FF"/>
    <w:rsid w:val="0E20FACD"/>
    <w:rsid w:val="0E4B2994"/>
    <w:rsid w:val="0E5538C6"/>
    <w:rsid w:val="0E716374"/>
    <w:rsid w:val="0E729853"/>
    <w:rsid w:val="0EA34D7D"/>
    <w:rsid w:val="0EB70D25"/>
    <w:rsid w:val="0EE0C287"/>
    <w:rsid w:val="0EE902A7"/>
    <w:rsid w:val="0F13ED27"/>
    <w:rsid w:val="0F16B60D"/>
    <w:rsid w:val="0F5609E4"/>
    <w:rsid w:val="0F5A1BFD"/>
    <w:rsid w:val="0F9C319A"/>
    <w:rsid w:val="0FC1E1BD"/>
    <w:rsid w:val="0FCF784C"/>
    <w:rsid w:val="10098531"/>
    <w:rsid w:val="10C1E397"/>
    <w:rsid w:val="10C37248"/>
    <w:rsid w:val="10C578B3"/>
    <w:rsid w:val="10DE5C0F"/>
    <w:rsid w:val="1105384C"/>
    <w:rsid w:val="1106FA2D"/>
    <w:rsid w:val="11462466"/>
    <w:rsid w:val="11694C58"/>
    <w:rsid w:val="1178DF78"/>
    <w:rsid w:val="11797A08"/>
    <w:rsid w:val="1180BE4B"/>
    <w:rsid w:val="11939294"/>
    <w:rsid w:val="1198FFE3"/>
    <w:rsid w:val="11A5B9C7"/>
    <w:rsid w:val="11A67849"/>
    <w:rsid w:val="11B480A2"/>
    <w:rsid w:val="11D1E80B"/>
    <w:rsid w:val="11D7CF6C"/>
    <w:rsid w:val="1239B534"/>
    <w:rsid w:val="12708845"/>
    <w:rsid w:val="1315EC44"/>
    <w:rsid w:val="13173609"/>
    <w:rsid w:val="131745BF"/>
    <w:rsid w:val="1331AE7A"/>
    <w:rsid w:val="13364EE8"/>
    <w:rsid w:val="133F646C"/>
    <w:rsid w:val="13A73BD5"/>
    <w:rsid w:val="13B0423B"/>
    <w:rsid w:val="13F487E2"/>
    <w:rsid w:val="1409E6D2"/>
    <w:rsid w:val="141B2E91"/>
    <w:rsid w:val="1429F5D8"/>
    <w:rsid w:val="14321EC2"/>
    <w:rsid w:val="14E1795F"/>
    <w:rsid w:val="14F721DC"/>
    <w:rsid w:val="15430B39"/>
    <w:rsid w:val="15511BA4"/>
    <w:rsid w:val="1598C91F"/>
    <w:rsid w:val="15C395AA"/>
    <w:rsid w:val="1609F758"/>
    <w:rsid w:val="1612A729"/>
    <w:rsid w:val="1616C4EB"/>
    <w:rsid w:val="166145D4"/>
    <w:rsid w:val="167389E7"/>
    <w:rsid w:val="1687FA70"/>
    <w:rsid w:val="16941A5E"/>
    <w:rsid w:val="16C9E0D2"/>
    <w:rsid w:val="16D5B043"/>
    <w:rsid w:val="16FF0559"/>
    <w:rsid w:val="176F15D0"/>
    <w:rsid w:val="17A1AB9B"/>
    <w:rsid w:val="17BD56A7"/>
    <w:rsid w:val="17FFB89B"/>
    <w:rsid w:val="180BC6E2"/>
    <w:rsid w:val="18283A67"/>
    <w:rsid w:val="183C494F"/>
    <w:rsid w:val="1888DB53"/>
    <w:rsid w:val="1890CB0D"/>
    <w:rsid w:val="18DAB7FD"/>
    <w:rsid w:val="18E9F1DB"/>
    <w:rsid w:val="19014113"/>
    <w:rsid w:val="190B0B21"/>
    <w:rsid w:val="19356A15"/>
    <w:rsid w:val="1978BECA"/>
    <w:rsid w:val="198C06DF"/>
    <w:rsid w:val="19B326E6"/>
    <w:rsid w:val="19BD5590"/>
    <w:rsid w:val="19C5114B"/>
    <w:rsid w:val="19D4A5C6"/>
    <w:rsid w:val="1A102F7E"/>
    <w:rsid w:val="1A143E94"/>
    <w:rsid w:val="1A172959"/>
    <w:rsid w:val="1A3A5112"/>
    <w:rsid w:val="1A71CCAD"/>
    <w:rsid w:val="1A9B6394"/>
    <w:rsid w:val="1AB350A2"/>
    <w:rsid w:val="1ADCC655"/>
    <w:rsid w:val="1B32238C"/>
    <w:rsid w:val="1B370B43"/>
    <w:rsid w:val="1B597FDB"/>
    <w:rsid w:val="1B5B6B0E"/>
    <w:rsid w:val="1B654638"/>
    <w:rsid w:val="1B709A24"/>
    <w:rsid w:val="1B805331"/>
    <w:rsid w:val="1B8A58A1"/>
    <w:rsid w:val="1B8B630C"/>
    <w:rsid w:val="1BB85A03"/>
    <w:rsid w:val="1BC01AB5"/>
    <w:rsid w:val="1BE09570"/>
    <w:rsid w:val="1BE6D75E"/>
    <w:rsid w:val="1BE7823C"/>
    <w:rsid w:val="1C01A8ED"/>
    <w:rsid w:val="1C102F8A"/>
    <w:rsid w:val="1C271725"/>
    <w:rsid w:val="1C4F94E5"/>
    <w:rsid w:val="1C796602"/>
    <w:rsid w:val="1C8816E2"/>
    <w:rsid w:val="1C9963A1"/>
    <w:rsid w:val="1CBF4D92"/>
    <w:rsid w:val="1CCE66A9"/>
    <w:rsid w:val="1CF02CEE"/>
    <w:rsid w:val="1D136676"/>
    <w:rsid w:val="1D31EBDE"/>
    <w:rsid w:val="1D3B51FF"/>
    <w:rsid w:val="1D4DD014"/>
    <w:rsid w:val="1D59BB66"/>
    <w:rsid w:val="1D6077E2"/>
    <w:rsid w:val="1DAAB289"/>
    <w:rsid w:val="1DB47E3A"/>
    <w:rsid w:val="1E2E00DA"/>
    <w:rsid w:val="1E4314CF"/>
    <w:rsid w:val="1E539D7A"/>
    <w:rsid w:val="1E569FBD"/>
    <w:rsid w:val="1E5EF030"/>
    <w:rsid w:val="1E674B8C"/>
    <w:rsid w:val="1E6C1EED"/>
    <w:rsid w:val="1E7309F6"/>
    <w:rsid w:val="1E7E4520"/>
    <w:rsid w:val="1EA412D0"/>
    <w:rsid w:val="1EB650DD"/>
    <w:rsid w:val="1ECE37F5"/>
    <w:rsid w:val="1ECF1E65"/>
    <w:rsid w:val="1ED18276"/>
    <w:rsid w:val="1F3F59D6"/>
    <w:rsid w:val="1FF4D7F4"/>
    <w:rsid w:val="200927A9"/>
    <w:rsid w:val="2014990C"/>
    <w:rsid w:val="20A08528"/>
    <w:rsid w:val="20B3A86B"/>
    <w:rsid w:val="20CBB012"/>
    <w:rsid w:val="20DA379A"/>
    <w:rsid w:val="20DAF733"/>
    <w:rsid w:val="20DCD7A6"/>
    <w:rsid w:val="20E21D2C"/>
    <w:rsid w:val="20F16815"/>
    <w:rsid w:val="215AE4FF"/>
    <w:rsid w:val="217C6B13"/>
    <w:rsid w:val="2195EE29"/>
    <w:rsid w:val="21B7D8F0"/>
    <w:rsid w:val="21DB77C4"/>
    <w:rsid w:val="21FB52B6"/>
    <w:rsid w:val="220C98B4"/>
    <w:rsid w:val="220E7B9F"/>
    <w:rsid w:val="222D4533"/>
    <w:rsid w:val="2238C781"/>
    <w:rsid w:val="223A4998"/>
    <w:rsid w:val="22474091"/>
    <w:rsid w:val="2254C254"/>
    <w:rsid w:val="22816889"/>
    <w:rsid w:val="228B0722"/>
    <w:rsid w:val="22D1484D"/>
    <w:rsid w:val="22FF74A6"/>
    <w:rsid w:val="235D3841"/>
    <w:rsid w:val="235F8DCC"/>
    <w:rsid w:val="2371CF18"/>
    <w:rsid w:val="23AA2CC0"/>
    <w:rsid w:val="23AAFBD4"/>
    <w:rsid w:val="23DA2E57"/>
    <w:rsid w:val="23EED7C3"/>
    <w:rsid w:val="23FA5B51"/>
    <w:rsid w:val="24012DFC"/>
    <w:rsid w:val="24252D44"/>
    <w:rsid w:val="247931D4"/>
    <w:rsid w:val="247DB457"/>
    <w:rsid w:val="2497129E"/>
    <w:rsid w:val="24C2BB86"/>
    <w:rsid w:val="2520CA77"/>
    <w:rsid w:val="25210667"/>
    <w:rsid w:val="25837D94"/>
    <w:rsid w:val="25C3BFEA"/>
    <w:rsid w:val="25C5A4BD"/>
    <w:rsid w:val="25D1EE63"/>
    <w:rsid w:val="25F25C6E"/>
    <w:rsid w:val="263C2897"/>
    <w:rsid w:val="2671F458"/>
    <w:rsid w:val="267359C4"/>
    <w:rsid w:val="2694613A"/>
    <w:rsid w:val="26BC83EC"/>
    <w:rsid w:val="26DAD21E"/>
    <w:rsid w:val="2702494F"/>
    <w:rsid w:val="27480AFD"/>
    <w:rsid w:val="274D4675"/>
    <w:rsid w:val="279D860A"/>
    <w:rsid w:val="27B34F6A"/>
    <w:rsid w:val="27B6FD6F"/>
    <w:rsid w:val="27DD7957"/>
    <w:rsid w:val="27EAD334"/>
    <w:rsid w:val="27F23FB9"/>
    <w:rsid w:val="280173D4"/>
    <w:rsid w:val="282E3749"/>
    <w:rsid w:val="2833CB69"/>
    <w:rsid w:val="283BE89A"/>
    <w:rsid w:val="28433F2F"/>
    <w:rsid w:val="2854EBDB"/>
    <w:rsid w:val="2860AB8E"/>
    <w:rsid w:val="28736B23"/>
    <w:rsid w:val="28A18542"/>
    <w:rsid w:val="28A69A7D"/>
    <w:rsid w:val="28ADC9B4"/>
    <w:rsid w:val="28AE2221"/>
    <w:rsid w:val="28B1420E"/>
    <w:rsid w:val="28BCC8BD"/>
    <w:rsid w:val="29119532"/>
    <w:rsid w:val="29472561"/>
    <w:rsid w:val="295C1AC7"/>
    <w:rsid w:val="297BDFB8"/>
    <w:rsid w:val="299B3BF1"/>
    <w:rsid w:val="29C0EEDF"/>
    <w:rsid w:val="29CE4D48"/>
    <w:rsid w:val="29DACE28"/>
    <w:rsid w:val="29DDEC3F"/>
    <w:rsid w:val="29ECB164"/>
    <w:rsid w:val="2A0D22DA"/>
    <w:rsid w:val="2A2B60BB"/>
    <w:rsid w:val="2A37C947"/>
    <w:rsid w:val="2A4DFC17"/>
    <w:rsid w:val="2A888BB6"/>
    <w:rsid w:val="2A94B7BA"/>
    <w:rsid w:val="2A9FD606"/>
    <w:rsid w:val="2AE3C3AE"/>
    <w:rsid w:val="2B2BDE10"/>
    <w:rsid w:val="2B6351D0"/>
    <w:rsid w:val="2B7BB0D5"/>
    <w:rsid w:val="2B876D3C"/>
    <w:rsid w:val="2BBA5C60"/>
    <w:rsid w:val="2BD8A5D7"/>
    <w:rsid w:val="2BD8DA67"/>
    <w:rsid w:val="2BF9B3BC"/>
    <w:rsid w:val="2BFEA48A"/>
    <w:rsid w:val="2C679822"/>
    <w:rsid w:val="2C6D32B5"/>
    <w:rsid w:val="2C7F0AE3"/>
    <w:rsid w:val="2C98FB6A"/>
    <w:rsid w:val="2CC2FBA8"/>
    <w:rsid w:val="2CEA1DF3"/>
    <w:rsid w:val="2D0A6083"/>
    <w:rsid w:val="2D0F85EC"/>
    <w:rsid w:val="2D18819C"/>
    <w:rsid w:val="2D565055"/>
    <w:rsid w:val="2D72BE99"/>
    <w:rsid w:val="2DBD606A"/>
    <w:rsid w:val="2DBF0E4D"/>
    <w:rsid w:val="2DF13A55"/>
    <w:rsid w:val="2DFAE048"/>
    <w:rsid w:val="2E0371D4"/>
    <w:rsid w:val="2E0592E4"/>
    <w:rsid w:val="2E0B17DC"/>
    <w:rsid w:val="2E13CE3E"/>
    <w:rsid w:val="2E1EFBBE"/>
    <w:rsid w:val="2E7433A7"/>
    <w:rsid w:val="2E7C4C44"/>
    <w:rsid w:val="2E93E54A"/>
    <w:rsid w:val="2EA6782B"/>
    <w:rsid w:val="2EDBE80A"/>
    <w:rsid w:val="2EF532A9"/>
    <w:rsid w:val="2F2ACFF9"/>
    <w:rsid w:val="2F53DCED"/>
    <w:rsid w:val="2F762523"/>
    <w:rsid w:val="2F846324"/>
    <w:rsid w:val="2F92929C"/>
    <w:rsid w:val="2FFB967E"/>
    <w:rsid w:val="2FFFAB39"/>
    <w:rsid w:val="30672D03"/>
    <w:rsid w:val="3094EF42"/>
    <w:rsid w:val="30BBC019"/>
    <w:rsid w:val="30D9DF5B"/>
    <w:rsid w:val="31091AD3"/>
    <w:rsid w:val="31164A68"/>
    <w:rsid w:val="31234696"/>
    <w:rsid w:val="31843520"/>
    <w:rsid w:val="31C9AE0D"/>
    <w:rsid w:val="31CC4DD9"/>
    <w:rsid w:val="32051F94"/>
    <w:rsid w:val="321A614D"/>
    <w:rsid w:val="322324F9"/>
    <w:rsid w:val="322A0009"/>
    <w:rsid w:val="322F838D"/>
    <w:rsid w:val="3246C7B8"/>
    <w:rsid w:val="326AEB79"/>
    <w:rsid w:val="3280BEC4"/>
    <w:rsid w:val="32D45A2C"/>
    <w:rsid w:val="333BD980"/>
    <w:rsid w:val="333C7BC0"/>
    <w:rsid w:val="3385BE1C"/>
    <w:rsid w:val="33E9B9DE"/>
    <w:rsid w:val="341B82E9"/>
    <w:rsid w:val="342082D3"/>
    <w:rsid w:val="34308FC5"/>
    <w:rsid w:val="34622AF3"/>
    <w:rsid w:val="348C81F7"/>
    <w:rsid w:val="349ACF17"/>
    <w:rsid w:val="34D91EEF"/>
    <w:rsid w:val="3504FC1B"/>
    <w:rsid w:val="35186376"/>
    <w:rsid w:val="35483404"/>
    <w:rsid w:val="358ED89F"/>
    <w:rsid w:val="35F5F85D"/>
    <w:rsid w:val="35FCB6B0"/>
    <w:rsid w:val="3600B110"/>
    <w:rsid w:val="3602E661"/>
    <w:rsid w:val="3609F020"/>
    <w:rsid w:val="3615C885"/>
    <w:rsid w:val="363682D7"/>
    <w:rsid w:val="368014E7"/>
    <w:rsid w:val="36ABD9F8"/>
    <w:rsid w:val="36FA32DE"/>
    <w:rsid w:val="36FD93F5"/>
    <w:rsid w:val="371C921A"/>
    <w:rsid w:val="37415B6A"/>
    <w:rsid w:val="37683969"/>
    <w:rsid w:val="3778CC2D"/>
    <w:rsid w:val="378DBC58"/>
    <w:rsid w:val="37D51F77"/>
    <w:rsid w:val="37E7EFCB"/>
    <w:rsid w:val="380BAE89"/>
    <w:rsid w:val="3814686C"/>
    <w:rsid w:val="3814F0F2"/>
    <w:rsid w:val="384E919B"/>
    <w:rsid w:val="3866816D"/>
    <w:rsid w:val="38743B02"/>
    <w:rsid w:val="388DA1A4"/>
    <w:rsid w:val="38B0D493"/>
    <w:rsid w:val="38C69DCF"/>
    <w:rsid w:val="38CE6555"/>
    <w:rsid w:val="38DCBF31"/>
    <w:rsid w:val="39053578"/>
    <w:rsid w:val="393B7657"/>
    <w:rsid w:val="39423435"/>
    <w:rsid w:val="3974F99D"/>
    <w:rsid w:val="39D33EF1"/>
    <w:rsid w:val="39D79EA2"/>
    <w:rsid w:val="39E1D83A"/>
    <w:rsid w:val="3A3F1ACF"/>
    <w:rsid w:val="3A3F8A63"/>
    <w:rsid w:val="3A5C49C7"/>
    <w:rsid w:val="3A615B1D"/>
    <w:rsid w:val="3A81F43D"/>
    <w:rsid w:val="3AA0861F"/>
    <w:rsid w:val="3AAC2EDA"/>
    <w:rsid w:val="3ACB5DA1"/>
    <w:rsid w:val="3AD0BE2C"/>
    <w:rsid w:val="3AE452C0"/>
    <w:rsid w:val="3AE7E6A3"/>
    <w:rsid w:val="3B0738F0"/>
    <w:rsid w:val="3B168F28"/>
    <w:rsid w:val="3B1F3F4D"/>
    <w:rsid w:val="3B2681F8"/>
    <w:rsid w:val="3B491949"/>
    <w:rsid w:val="3B84C41A"/>
    <w:rsid w:val="3B883148"/>
    <w:rsid w:val="3BB7CD5C"/>
    <w:rsid w:val="3BC67350"/>
    <w:rsid w:val="3BE13FA2"/>
    <w:rsid w:val="3BEE5124"/>
    <w:rsid w:val="3C0A15A7"/>
    <w:rsid w:val="3C123916"/>
    <w:rsid w:val="3C323DD8"/>
    <w:rsid w:val="3C37795B"/>
    <w:rsid w:val="3C45C3AB"/>
    <w:rsid w:val="3C5A6419"/>
    <w:rsid w:val="3C6A8253"/>
    <w:rsid w:val="3C74E790"/>
    <w:rsid w:val="3C7C8465"/>
    <w:rsid w:val="3C817F80"/>
    <w:rsid w:val="3C827A9C"/>
    <w:rsid w:val="3C9CB34F"/>
    <w:rsid w:val="3CA855A0"/>
    <w:rsid w:val="3CAC04E7"/>
    <w:rsid w:val="3CD0C749"/>
    <w:rsid w:val="3CD10AE4"/>
    <w:rsid w:val="3CFD2819"/>
    <w:rsid w:val="3D194AB7"/>
    <w:rsid w:val="3D1F84FE"/>
    <w:rsid w:val="3D2774AD"/>
    <w:rsid w:val="3D2C026B"/>
    <w:rsid w:val="3D3E993C"/>
    <w:rsid w:val="3D4AC9AE"/>
    <w:rsid w:val="3D62379E"/>
    <w:rsid w:val="3DA08917"/>
    <w:rsid w:val="3DE6DC76"/>
    <w:rsid w:val="3E80F9DC"/>
    <w:rsid w:val="3E8F5F29"/>
    <w:rsid w:val="3E954724"/>
    <w:rsid w:val="3E9638AA"/>
    <w:rsid w:val="3EA4202B"/>
    <w:rsid w:val="3EE63EEE"/>
    <w:rsid w:val="3F250182"/>
    <w:rsid w:val="3F518FC4"/>
    <w:rsid w:val="3F7A4AAA"/>
    <w:rsid w:val="3F944886"/>
    <w:rsid w:val="3FCE207B"/>
    <w:rsid w:val="3FF0DE21"/>
    <w:rsid w:val="3FFFDB77"/>
    <w:rsid w:val="403D78D0"/>
    <w:rsid w:val="404D51EB"/>
    <w:rsid w:val="4060B53F"/>
    <w:rsid w:val="407F390E"/>
    <w:rsid w:val="408C5FD4"/>
    <w:rsid w:val="40B5C658"/>
    <w:rsid w:val="40B7B874"/>
    <w:rsid w:val="40E568A3"/>
    <w:rsid w:val="40F602D4"/>
    <w:rsid w:val="40FBED86"/>
    <w:rsid w:val="41105756"/>
    <w:rsid w:val="412CDD35"/>
    <w:rsid w:val="415B5061"/>
    <w:rsid w:val="416FCCD9"/>
    <w:rsid w:val="418407A1"/>
    <w:rsid w:val="41AD13D4"/>
    <w:rsid w:val="41B29649"/>
    <w:rsid w:val="41D77804"/>
    <w:rsid w:val="41E05FAF"/>
    <w:rsid w:val="420129F1"/>
    <w:rsid w:val="426C92E3"/>
    <w:rsid w:val="4287429B"/>
    <w:rsid w:val="42E510E9"/>
    <w:rsid w:val="4302D744"/>
    <w:rsid w:val="4316C696"/>
    <w:rsid w:val="431CB086"/>
    <w:rsid w:val="43E05E5D"/>
    <w:rsid w:val="43EFE727"/>
    <w:rsid w:val="43F65A2B"/>
    <w:rsid w:val="441CFEAB"/>
    <w:rsid w:val="445BEDF4"/>
    <w:rsid w:val="4469831D"/>
    <w:rsid w:val="448AD3F1"/>
    <w:rsid w:val="449B353E"/>
    <w:rsid w:val="44B345EC"/>
    <w:rsid w:val="44BBA4C4"/>
    <w:rsid w:val="44C41CC9"/>
    <w:rsid w:val="44D9E313"/>
    <w:rsid w:val="44FF5656"/>
    <w:rsid w:val="45148D62"/>
    <w:rsid w:val="451EDC29"/>
    <w:rsid w:val="454C8455"/>
    <w:rsid w:val="454E5F0A"/>
    <w:rsid w:val="459580DF"/>
    <w:rsid w:val="459806A3"/>
    <w:rsid w:val="45ACBD7C"/>
    <w:rsid w:val="45D009AA"/>
    <w:rsid w:val="45F2A985"/>
    <w:rsid w:val="463893A9"/>
    <w:rsid w:val="463D4D53"/>
    <w:rsid w:val="469C73BC"/>
    <w:rsid w:val="46F96B29"/>
    <w:rsid w:val="47048489"/>
    <w:rsid w:val="470AD283"/>
    <w:rsid w:val="472144FB"/>
    <w:rsid w:val="4727AA33"/>
    <w:rsid w:val="4731110E"/>
    <w:rsid w:val="47363F7E"/>
    <w:rsid w:val="4774C075"/>
    <w:rsid w:val="47B527A3"/>
    <w:rsid w:val="47BF6534"/>
    <w:rsid w:val="48736533"/>
    <w:rsid w:val="4878DE54"/>
    <w:rsid w:val="48A1E7EC"/>
    <w:rsid w:val="48A8ED8F"/>
    <w:rsid w:val="48D53E01"/>
    <w:rsid w:val="48F4DAC8"/>
    <w:rsid w:val="491E3A64"/>
    <w:rsid w:val="493BD55C"/>
    <w:rsid w:val="493DB0FA"/>
    <w:rsid w:val="4949EE8E"/>
    <w:rsid w:val="499F2CA1"/>
    <w:rsid w:val="49B477BE"/>
    <w:rsid w:val="4A0B0BB9"/>
    <w:rsid w:val="4A1FBD91"/>
    <w:rsid w:val="4A22E6F3"/>
    <w:rsid w:val="4A3AD3A2"/>
    <w:rsid w:val="4A40E86F"/>
    <w:rsid w:val="4A448074"/>
    <w:rsid w:val="4A4D0968"/>
    <w:rsid w:val="4A7AC23A"/>
    <w:rsid w:val="4AD47CCF"/>
    <w:rsid w:val="4AF4582C"/>
    <w:rsid w:val="4B044F00"/>
    <w:rsid w:val="4B56ED71"/>
    <w:rsid w:val="4B588C49"/>
    <w:rsid w:val="4B7773CB"/>
    <w:rsid w:val="4B838E94"/>
    <w:rsid w:val="4B965217"/>
    <w:rsid w:val="4BAD66E2"/>
    <w:rsid w:val="4BB51034"/>
    <w:rsid w:val="4BB6AE3E"/>
    <w:rsid w:val="4BBF2779"/>
    <w:rsid w:val="4BC50BB2"/>
    <w:rsid w:val="4BF69EA0"/>
    <w:rsid w:val="4C0FB501"/>
    <w:rsid w:val="4C4973FC"/>
    <w:rsid w:val="4C73C834"/>
    <w:rsid w:val="4C75ACDB"/>
    <w:rsid w:val="4CB60BEA"/>
    <w:rsid w:val="4CD54592"/>
    <w:rsid w:val="4CE6ED59"/>
    <w:rsid w:val="4D0C2FB1"/>
    <w:rsid w:val="4D1FEB64"/>
    <w:rsid w:val="4D450866"/>
    <w:rsid w:val="4D53C5BE"/>
    <w:rsid w:val="4D67B356"/>
    <w:rsid w:val="4D6C8DE2"/>
    <w:rsid w:val="4D7EAEC1"/>
    <w:rsid w:val="4D92B634"/>
    <w:rsid w:val="4D9EBB4A"/>
    <w:rsid w:val="4DD64482"/>
    <w:rsid w:val="4DED02A7"/>
    <w:rsid w:val="4E4BD41D"/>
    <w:rsid w:val="4EFBECFE"/>
    <w:rsid w:val="4F1E25E0"/>
    <w:rsid w:val="4F2EBBD4"/>
    <w:rsid w:val="4F4475A8"/>
    <w:rsid w:val="4F4A64F6"/>
    <w:rsid w:val="4F778C38"/>
    <w:rsid w:val="4F89E0F7"/>
    <w:rsid w:val="4FB22A96"/>
    <w:rsid w:val="4FBEECE8"/>
    <w:rsid w:val="4FE639AD"/>
    <w:rsid w:val="4FE86F4B"/>
    <w:rsid w:val="4FF3B2C0"/>
    <w:rsid w:val="4FF5BE63"/>
    <w:rsid w:val="5057E2B6"/>
    <w:rsid w:val="507F71BB"/>
    <w:rsid w:val="5083B38C"/>
    <w:rsid w:val="50A4D21E"/>
    <w:rsid w:val="50AE922E"/>
    <w:rsid w:val="50B6FD27"/>
    <w:rsid w:val="50EFDFA6"/>
    <w:rsid w:val="511AAF14"/>
    <w:rsid w:val="513268BB"/>
    <w:rsid w:val="513DC651"/>
    <w:rsid w:val="51510413"/>
    <w:rsid w:val="51D79967"/>
    <w:rsid w:val="51E810B5"/>
    <w:rsid w:val="5204AAC0"/>
    <w:rsid w:val="52149FF4"/>
    <w:rsid w:val="524FE862"/>
    <w:rsid w:val="525886D8"/>
    <w:rsid w:val="52D179AD"/>
    <w:rsid w:val="52E14076"/>
    <w:rsid w:val="52E520DB"/>
    <w:rsid w:val="531FA205"/>
    <w:rsid w:val="5329BFCA"/>
    <w:rsid w:val="53635729"/>
    <w:rsid w:val="53CC380C"/>
    <w:rsid w:val="53D8CB72"/>
    <w:rsid w:val="53DC67E1"/>
    <w:rsid w:val="53E63D59"/>
    <w:rsid w:val="54135634"/>
    <w:rsid w:val="543B4078"/>
    <w:rsid w:val="5473A21C"/>
    <w:rsid w:val="547527E2"/>
    <w:rsid w:val="54B46ADB"/>
    <w:rsid w:val="54B96DE0"/>
    <w:rsid w:val="54CCF5CF"/>
    <w:rsid w:val="5516F332"/>
    <w:rsid w:val="55255768"/>
    <w:rsid w:val="552C2042"/>
    <w:rsid w:val="55591AE1"/>
    <w:rsid w:val="556E2A8F"/>
    <w:rsid w:val="558DC9BB"/>
    <w:rsid w:val="55A18A08"/>
    <w:rsid w:val="55E3C3DA"/>
    <w:rsid w:val="56029983"/>
    <w:rsid w:val="561BC9FC"/>
    <w:rsid w:val="56321B22"/>
    <w:rsid w:val="5634BCDC"/>
    <w:rsid w:val="56AC5F16"/>
    <w:rsid w:val="56C80180"/>
    <w:rsid w:val="5726C435"/>
    <w:rsid w:val="5756987D"/>
    <w:rsid w:val="5779503C"/>
    <w:rsid w:val="577AD86D"/>
    <w:rsid w:val="5793942F"/>
    <w:rsid w:val="57C11B12"/>
    <w:rsid w:val="57C219BB"/>
    <w:rsid w:val="57D49A88"/>
    <w:rsid w:val="57E795D1"/>
    <w:rsid w:val="57EC38A6"/>
    <w:rsid w:val="58057A7E"/>
    <w:rsid w:val="580CC690"/>
    <w:rsid w:val="5833EE8B"/>
    <w:rsid w:val="5851DD04"/>
    <w:rsid w:val="5859E2DB"/>
    <w:rsid w:val="5891723B"/>
    <w:rsid w:val="58922540"/>
    <w:rsid w:val="58932229"/>
    <w:rsid w:val="58C3E3AF"/>
    <w:rsid w:val="58CCA025"/>
    <w:rsid w:val="58D6C817"/>
    <w:rsid w:val="58E3D881"/>
    <w:rsid w:val="58F933AF"/>
    <w:rsid w:val="5922D2BB"/>
    <w:rsid w:val="592C205C"/>
    <w:rsid w:val="5932E702"/>
    <w:rsid w:val="59801B34"/>
    <w:rsid w:val="59C6B8C0"/>
    <w:rsid w:val="59D1178C"/>
    <w:rsid w:val="59F22A99"/>
    <w:rsid w:val="59F31D9C"/>
    <w:rsid w:val="59F3CBE7"/>
    <w:rsid w:val="5A065A0C"/>
    <w:rsid w:val="5A19BB20"/>
    <w:rsid w:val="5A29E8E5"/>
    <w:rsid w:val="5A470931"/>
    <w:rsid w:val="5A499B75"/>
    <w:rsid w:val="5A55ED39"/>
    <w:rsid w:val="5A568377"/>
    <w:rsid w:val="5AC755F8"/>
    <w:rsid w:val="5AEF369D"/>
    <w:rsid w:val="5B0C03A5"/>
    <w:rsid w:val="5B27833D"/>
    <w:rsid w:val="5B31A8DC"/>
    <w:rsid w:val="5B3593F7"/>
    <w:rsid w:val="5B4884D3"/>
    <w:rsid w:val="5B50A5CF"/>
    <w:rsid w:val="5BA68B98"/>
    <w:rsid w:val="5BC979E5"/>
    <w:rsid w:val="5BCC2395"/>
    <w:rsid w:val="5BF849AC"/>
    <w:rsid w:val="5C132396"/>
    <w:rsid w:val="5C17ABD1"/>
    <w:rsid w:val="5C4010E6"/>
    <w:rsid w:val="5C40C457"/>
    <w:rsid w:val="5C5E3922"/>
    <w:rsid w:val="5C776E96"/>
    <w:rsid w:val="5CC9946A"/>
    <w:rsid w:val="5D54F6C2"/>
    <w:rsid w:val="5DB4C440"/>
    <w:rsid w:val="5DB6B73A"/>
    <w:rsid w:val="5DE6084A"/>
    <w:rsid w:val="5DF6ED70"/>
    <w:rsid w:val="5E4778B1"/>
    <w:rsid w:val="5E55E690"/>
    <w:rsid w:val="5E660DAB"/>
    <w:rsid w:val="5E7DA9CF"/>
    <w:rsid w:val="5E85D8F1"/>
    <w:rsid w:val="5EAA29AD"/>
    <w:rsid w:val="5EB6787B"/>
    <w:rsid w:val="5EC62CC9"/>
    <w:rsid w:val="5EF1633E"/>
    <w:rsid w:val="5F11E358"/>
    <w:rsid w:val="5F20C47D"/>
    <w:rsid w:val="5F2FCAA7"/>
    <w:rsid w:val="5F3A7B6B"/>
    <w:rsid w:val="5F4037CD"/>
    <w:rsid w:val="5F532A4F"/>
    <w:rsid w:val="5F5B5055"/>
    <w:rsid w:val="5F669D9B"/>
    <w:rsid w:val="5F66B97C"/>
    <w:rsid w:val="5F67A9EE"/>
    <w:rsid w:val="5F864F4C"/>
    <w:rsid w:val="5F91A5F4"/>
    <w:rsid w:val="5F93FE64"/>
    <w:rsid w:val="5FD191BC"/>
    <w:rsid w:val="5FE91965"/>
    <w:rsid w:val="6034E030"/>
    <w:rsid w:val="604CA374"/>
    <w:rsid w:val="6082DD21"/>
    <w:rsid w:val="60BB9DCE"/>
    <w:rsid w:val="60C1C33F"/>
    <w:rsid w:val="60CFD0B4"/>
    <w:rsid w:val="6127EB2B"/>
    <w:rsid w:val="615845BA"/>
    <w:rsid w:val="617B4808"/>
    <w:rsid w:val="619E297F"/>
    <w:rsid w:val="61B6F4E1"/>
    <w:rsid w:val="61E43820"/>
    <w:rsid w:val="61FDD9DF"/>
    <w:rsid w:val="6246615B"/>
    <w:rsid w:val="6253D616"/>
    <w:rsid w:val="625D1A15"/>
    <w:rsid w:val="62956A45"/>
    <w:rsid w:val="62DF082D"/>
    <w:rsid w:val="62E61F3E"/>
    <w:rsid w:val="6318160F"/>
    <w:rsid w:val="6359B0DE"/>
    <w:rsid w:val="6366AEC3"/>
    <w:rsid w:val="640F5A22"/>
    <w:rsid w:val="64137B51"/>
    <w:rsid w:val="64160A70"/>
    <w:rsid w:val="6431A621"/>
    <w:rsid w:val="646F1198"/>
    <w:rsid w:val="64B42F5A"/>
    <w:rsid w:val="64FB3F1C"/>
    <w:rsid w:val="651D4B68"/>
    <w:rsid w:val="655AD9B7"/>
    <w:rsid w:val="65669B10"/>
    <w:rsid w:val="65C28BD6"/>
    <w:rsid w:val="65DD5061"/>
    <w:rsid w:val="65F65F70"/>
    <w:rsid w:val="65FCF0F2"/>
    <w:rsid w:val="65FD180A"/>
    <w:rsid w:val="661BD35D"/>
    <w:rsid w:val="6683DB3C"/>
    <w:rsid w:val="668CBB49"/>
    <w:rsid w:val="66CAC961"/>
    <w:rsid w:val="66ECBEF3"/>
    <w:rsid w:val="66F293B4"/>
    <w:rsid w:val="67617D27"/>
    <w:rsid w:val="67B72595"/>
    <w:rsid w:val="67DDDA64"/>
    <w:rsid w:val="68228519"/>
    <w:rsid w:val="68482EDD"/>
    <w:rsid w:val="684ABD32"/>
    <w:rsid w:val="68746252"/>
    <w:rsid w:val="68808BDC"/>
    <w:rsid w:val="68A7DAE3"/>
    <w:rsid w:val="68D954BE"/>
    <w:rsid w:val="69169B89"/>
    <w:rsid w:val="6930BC15"/>
    <w:rsid w:val="6948C1C2"/>
    <w:rsid w:val="696F15A1"/>
    <w:rsid w:val="6980CD84"/>
    <w:rsid w:val="69AD7FED"/>
    <w:rsid w:val="69EAEE5E"/>
    <w:rsid w:val="6A062B4F"/>
    <w:rsid w:val="6A2B3E50"/>
    <w:rsid w:val="6A42CE65"/>
    <w:rsid w:val="6A75702D"/>
    <w:rsid w:val="6A7EFDA4"/>
    <w:rsid w:val="6A806051"/>
    <w:rsid w:val="6AC8FBE7"/>
    <w:rsid w:val="6AF8C368"/>
    <w:rsid w:val="6AFEA3B9"/>
    <w:rsid w:val="6B0959AF"/>
    <w:rsid w:val="6B338488"/>
    <w:rsid w:val="6B5F000F"/>
    <w:rsid w:val="6BA56A37"/>
    <w:rsid w:val="6BAACE6D"/>
    <w:rsid w:val="6BB30A46"/>
    <w:rsid w:val="6BC35B64"/>
    <w:rsid w:val="6BE1F1C4"/>
    <w:rsid w:val="6BEB6264"/>
    <w:rsid w:val="6BEF25DE"/>
    <w:rsid w:val="6BFDCEA8"/>
    <w:rsid w:val="6C172429"/>
    <w:rsid w:val="6C82B113"/>
    <w:rsid w:val="6CCBD4ED"/>
    <w:rsid w:val="6CF25DE7"/>
    <w:rsid w:val="6CF2E6F6"/>
    <w:rsid w:val="6D28B1AF"/>
    <w:rsid w:val="6D2A9534"/>
    <w:rsid w:val="6D38E9BF"/>
    <w:rsid w:val="6D52A103"/>
    <w:rsid w:val="6D616F43"/>
    <w:rsid w:val="6D68AE72"/>
    <w:rsid w:val="6DA9F0C6"/>
    <w:rsid w:val="6DCCA7B4"/>
    <w:rsid w:val="6E1BD0BB"/>
    <w:rsid w:val="6E2EDCD3"/>
    <w:rsid w:val="6E42FF05"/>
    <w:rsid w:val="6E6437DE"/>
    <w:rsid w:val="6EA88B48"/>
    <w:rsid w:val="6EAA0CEC"/>
    <w:rsid w:val="6EB73EE5"/>
    <w:rsid w:val="6ECA1D72"/>
    <w:rsid w:val="6EFD5B36"/>
    <w:rsid w:val="6F175F4F"/>
    <w:rsid w:val="6F24403B"/>
    <w:rsid w:val="6F30A894"/>
    <w:rsid w:val="6F3CCD3D"/>
    <w:rsid w:val="6FBB747D"/>
    <w:rsid w:val="6FF47DE7"/>
    <w:rsid w:val="705050AA"/>
    <w:rsid w:val="7086F58C"/>
    <w:rsid w:val="709C33EC"/>
    <w:rsid w:val="70D34A64"/>
    <w:rsid w:val="70D88997"/>
    <w:rsid w:val="70DA6E62"/>
    <w:rsid w:val="70E412CD"/>
    <w:rsid w:val="70E66B24"/>
    <w:rsid w:val="70ED3C5B"/>
    <w:rsid w:val="70FB92D6"/>
    <w:rsid w:val="71279B8F"/>
    <w:rsid w:val="714A090E"/>
    <w:rsid w:val="715B2E41"/>
    <w:rsid w:val="71701E5B"/>
    <w:rsid w:val="7174CD08"/>
    <w:rsid w:val="719C51D6"/>
    <w:rsid w:val="71B65206"/>
    <w:rsid w:val="71B9DCD6"/>
    <w:rsid w:val="71CDD8FE"/>
    <w:rsid w:val="71E8FD9F"/>
    <w:rsid w:val="721CDE3C"/>
    <w:rsid w:val="72262363"/>
    <w:rsid w:val="726EECCC"/>
    <w:rsid w:val="7274885C"/>
    <w:rsid w:val="727C70AC"/>
    <w:rsid w:val="7285F113"/>
    <w:rsid w:val="7293BB3E"/>
    <w:rsid w:val="72C6F54C"/>
    <w:rsid w:val="72EA2022"/>
    <w:rsid w:val="72F9AE1C"/>
    <w:rsid w:val="731A1B76"/>
    <w:rsid w:val="7339CE0B"/>
    <w:rsid w:val="733CE7FC"/>
    <w:rsid w:val="737BA646"/>
    <w:rsid w:val="739E9D31"/>
    <w:rsid w:val="73C7E780"/>
    <w:rsid w:val="7408C01B"/>
    <w:rsid w:val="7418C3BA"/>
    <w:rsid w:val="74354DEB"/>
    <w:rsid w:val="7497EC14"/>
    <w:rsid w:val="74C711BE"/>
    <w:rsid w:val="74CB3CE1"/>
    <w:rsid w:val="74CE2E71"/>
    <w:rsid w:val="74F1687A"/>
    <w:rsid w:val="74F7D7DA"/>
    <w:rsid w:val="7501A61B"/>
    <w:rsid w:val="75219C90"/>
    <w:rsid w:val="752F1DB2"/>
    <w:rsid w:val="753840D9"/>
    <w:rsid w:val="7542159D"/>
    <w:rsid w:val="757419CD"/>
    <w:rsid w:val="758DC5FE"/>
    <w:rsid w:val="75BCC02A"/>
    <w:rsid w:val="75DA3D7D"/>
    <w:rsid w:val="75E17E31"/>
    <w:rsid w:val="761E4E94"/>
    <w:rsid w:val="762EF712"/>
    <w:rsid w:val="76304C55"/>
    <w:rsid w:val="76474DA1"/>
    <w:rsid w:val="764B5246"/>
    <w:rsid w:val="7654FE61"/>
    <w:rsid w:val="765EBC5D"/>
    <w:rsid w:val="76748A60"/>
    <w:rsid w:val="7699F35E"/>
    <w:rsid w:val="76B3995D"/>
    <w:rsid w:val="76D681A0"/>
    <w:rsid w:val="76F82A7D"/>
    <w:rsid w:val="7721A3F8"/>
    <w:rsid w:val="7725A7A2"/>
    <w:rsid w:val="7750C5F7"/>
    <w:rsid w:val="777C8EA1"/>
    <w:rsid w:val="77C3AE0E"/>
    <w:rsid w:val="77F8C943"/>
    <w:rsid w:val="78214D47"/>
    <w:rsid w:val="786E54B5"/>
    <w:rsid w:val="78971684"/>
    <w:rsid w:val="789FAB14"/>
    <w:rsid w:val="78E0070A"/>
    <w:rsid w:val="78F48B76"/>
    <w:rsid w:val="790D8DAC"/>
    <w:rsid w:val="790FC950"/>
    <w:rsid w:val="79121C59"/>
    <w:rsid w:val="793FDDC2"/>
    <w:rsid w:val="7958ABF5"/>
    <w:rsid w:val="7969ED03"/>
    <w:rsid w:val="797F0141"/>
    <w:rsid w:val="798448B5"/>
    <w:rsid w:val="79A4B966"/>
    <w:rsid w:val="79C114E9"/>
    <w:rsid w:val="79C90D17"/>
    <w:rsid w:val="79DBAD89"/>
    <w:rsid w:val="79DDE34F"/>
    <w:rsid w:val="7A06E729"/>
    <w:rsid w:val="7A17E119"/>
    <w:rsid w:val="7A57B620"/>
    <w:rsid w:val="7ACF1A26"/>
    <w:rsid w:val="7AF4917F"/>
    <w:rsid w:val="7B16880D"/>
    <w:rsid w:val="7B203451"/>
    <w:rsid w:val="7B318366"/>
    <w:rsid w:val="7B57CE29"/>
    <w:rsid w:val="7B9034EE"/>
    <w:rsid w:val="7B9A46FF"/>
    <w:rsid w:val="7BA4641D"/>
    <w:rsid w:val="7BB1BBDF"/>
    <w:rsid w:val="7BBAF9B4"/>
    <w:rsid w:val="7BBEA3F9"/>
    <w:rsid w:val="7BF7244F"/>
    <w:rsid w:val="7C07AEB3"/>
    <w:rsid w:val="7C2A7180"/>
    <w:rsid w:val="7C7F5DD0"/>
    <w:rsid w:val="7CB6EBBC"/>
    <w:rsid w:val="7CB730DC"/>
    <w:rsid w:val="7CB79DF3"/>
    <w:rsid w:val="7CD061FC"/>
    <w:rsid w:val="7CFDB421"/>
    <w:rsid w:val="7D150FC4"/>
    <w:rsid w:val="7D2E1A7D"/>
    <w:rsid w:val="7D3002A2"/>
    <w:rsid w:val="7D5C08DC"/>
    <w:rsid w:val="7DBD827A"/>
    <w:rsid w:val="7DFF7741"/>
    <w:rsid w:val="7E223276"/>
    <w:rsid w:val="7E385CFF"/>
    <w:rsid w:val="7E5EB8D3"/>
    <w:rsid w:val="7E634478"/>
    <w:rsid w:val="7E651B2C"/>
    <w:rsid w:val="7E6638A6"/>
    <w:rsid w:val="7E9D9134"/>
    <w:rsid w:val="7EA6C9AF"/>
    <w:rsid w:val="7EB3EC2C"/>
    <w:rsid w:val="7EBDD01F"/>
    <w:rsid w:val="7EBFECDC"/>
    <w:rsid w:val="7F383F92"/>
    <w:rsid w:val="7F4D531E"/>
    <w:rsid w:val="7F6AB040"/>
    <w:rsid w:val="7F6EEBC4"/>
    <w:rsid w:val="7F71C67E"/>
    <w:rsid w:val="7F9104CF"/>
    <w:rsid w:val="7F9A9F76"/>
    <w:rsid w:val="7FAD1687"/>
    <w:rsid w:val="7FC2B88D"/>
    <w:rsid w:val="7FCDE6F8"/>
    <w:rsid w:val="7FD21C3F"/>
    <w:rsid w:val="7FF27715"/>
    <w:rsid w:val="7FF79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6"/>
      </w:numPr>
      <w:spacing w:before="240" w:after="60"/>
      <w:outlineLvl w:val="5"/>
    </w:pPr>
    <w:rPr>
      <w:rFonts w:ascii="Calibri" w:hAnsi="Calibri"/>
      <w:b/>
      <w:bCs/>
      <w:szCs w:val="22"/>
    </w:rPr>
  </w:style>
  <w:style w:type="paragraph" w:styleId="Heading7">
    <w:name w:val="heading 7"/>
    <w:basedOn w:val="Normal"/>
    <w:next w:val="Normal"/>
    <w:pPr>
      <w:numPr>
        <w:ilvl w:val="6"/>
        <w:numId w:val="6"/>
      </w:numPr>
      <w:spacing w:before="240" w:after="60"/>
      <w:outlineLvl w:val="6"/>
    </w:pPr>
    <w:rPr>
      <w:rFonts w:ascii="Calibri" w:hAnsi="Calibri"/>
    </w:rPr>
  </w:style>
  <w:style w:type="paragraph" w:styleId="Heading8">
    <w:name w:val="heading 8"/>
    <w:basedOn w:val="Normal"/>
    <w:next w:val="Normal"/>
    <w:pPr>
      <w:numPr>
        <w:ilvl w:val="7"/>
        <w:numId w:val="6"/>
      </w:numPr>
      <w:spacing w:before="240" w:after="60"/>
      <w:outlineLvl w:val="7"/>
    </w:pPr>
    <w:rPr>
      <w:rFonts w:ascii="Calibri" w:hAnsi="Calibri"/>
      <w:i/>
      <w:iCs/>
    </w:rPr>
  </w:style>
  <w:style w:type="paragraph" w:styleId="Heading9">
    <w:name w:val="heading 9"/>
    <w:basedOn w:val="Normal"/>
    <w:next w:val="Normal"/>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6"/>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P.Deakin</cp:lastModifiedBy>
  <cp:revision>2</cp:revision>
  <cp:lastPrinted>2014-09-18T05:26:00Z</cp:lastPrinted>
  <dcterms:created xsi:type="dcterms:W3CDTF">2024-11-29T15:27:00Z</dcterms:created>
  <dcterms:modified xsi:type="dcterms:W3CDTF">2024-11-29T15:27:00Z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